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7C7F" w14:textId="1814CE0F" w:rsidR="00DC6F0C" w:rsidRDefault="00DC6F0C" w:rsidP="00BA61E7">
      <w:pPr>
        <w:jc w:val="center"/>
        <w:rPr>
          <w:rFonts w:ascii="Times New Roman" w:hAnsi="Times New Roman" w:cs="Times New Roman"/>
          <w:b/>
          <w:bCs/>
          <w:sz w:val="24"/>
          <w:szCs w:val="24"/>
        </w:rPr>
      </w:pPr>
      <w:r w:rsidRPr="00DC6F0C">
        <w:rPr>
          <w:rFonts w:ascii="Times New Roman" w:hAnsi="Times New Roman" w:cs="Times New Roman"/>
          <w:b/>
          <w:bCs/>
          <w:sz w:val="24"/>
          <w:szCs w:val="24"/>
        </w:rPr>
        <w:t xml:space="preserve">Electricity Authority's Actions Ultra Vires: </w:t>
      </w:r>
      <w:r>
        <w:rPr>
          <w:rFonts w:ascii="Times New Roman" w:hAnsi="Times New Roman" w:cs="Times New Roman"/>
          <w:b/>
          <w:bCs/>
          <w:sz w:val="24"/>
          <w:szCs w:val="24"/>
        </w:rPr>
        <w:t xml:space="preserve">Himachal Pradesh HC </w:t>
      </w:r>
      <w:r w:rsidRPr="00DC6F0C">
        <w:rPr>
          <w:rFonts w:ascii="Times New Roman" w:hAnsi="Times New Roman" w:cs="Times New Roman"/>
          <w:b/>
          <w:bCs/>
          <w:sz w:val="24"/>
          <w:szCs w:val="24"/>
        </w:rPr>
        <w:t>Orders Connection and Compensation to Petitioner</w:t>
      </w:r>
    </w:p>
    <w:p w14:paraId="7971F833" w14:textId="5F65DBCF" w:rsidR="002064DB" w:rsidRPr="00F478C7" w:rsidRDefault="002064DB">
      <w:pPr>
        <w:rPr>
          <w:rFonts w:ascii="Times New Roman" w:hAnsi="Times New Roman" w:cs="Times New Roman"/>
          <w:sz w:val="24"/>
          <w:szCs w:val="24"/>
        </w:rPr>
      </w:pPr>
      <w:r w:rsidRPr="00901B05">
        <w:rPr>
          <w:rFonts w:ascii="Times New Roman" w:hAnsi="Times New Roman" w:cs="Times New Roman"/>
          <w:b/>
          <w:bCs/>
          <w:sz w:val="24"/>
          <w:szCs w:val="24"/>
        </w:rPr>
        <w:t>Case Tittle</w:t>
      </w:r>
      <w:r w:rsidRPr="00F478C7">
        <w:rPr>
          <w:rFonts w:ascii="Times New Roman" w:hAnsi="Times New Roman" w:cs="Times New Roman"/>
          <w:sz w:val="24"/>
          <w:szCs w:val="24"/>
        </w:rPr>
        <w:t>:  M/S PURE &amp; CURE HEALTHCARE Pvt. Ltd v</w:t>
      </w:r>
      <w:r w:rsidR="00C3788A" w:rsidRPr="00F478C7">
        <w:rPr>
          <w:rFonts w:ascii="Times New Roman" w:hAnsi="Times New Roman" w:cs="Times New Roman"/>
          <w:sz w:val="24"/>
          <w:szCs w:val="24"/>
        </w:rPr>
        <w:t>s.</w:t>
      </w:r>
      <w:r w:rsidRPr="00F478C7">
        <w:rPr>
          <w:rFonts w:ascii="Times New Roman" w:hAnsi="Times New Roman" w:cs="Times New Roman"/>
          <w:sz w:val="24"/>
          <w:szCs w:val="24"/>
        </w:rPr>
        <w:t xml:space="preserve"> HPSEBL</w:t>
      </w:r>
    </w:p>
    <w:p w14:paraId="32622F17" w14:textId="77777777" w:rsidR="002064DB" w:rsidRPr="00F478C7" w:rsidRDefault="002064DB">
      <w:pPr>
        <w:rPr>
          <w:rFonts w:ascii="Times New Roman" w:hAnsi="Times New Roman" w:cs="Times New Roman"/>
          <w:sz w:val="24"/>
          <w:szCs w:val="24"/>
        </w:rPr>
      </w:pPr>
      <w:r w:rsidRPr="00901B05">
        <w:rPr>
          <w:rFonts w:ascii="Times New Roman" w:hAnsi="Times New Roman" w:cs="Times New Roman"/>
          <w:b/>
          <w:bCs/>
          <w:sz w:val="24"/>
          <w:szCs w:val="24"/>
        </w:rPr>
        <w:t>Case No</w:t>
      </w:r>
      <w:r w:rsidRPr="00F478C7">
        <w:rPr>
          <w:rFonts w:ascii="Times New Roman" w:hAnsi="Times New Roman" w:cs="Times New Roman"/>
          <w:sz w:val="24"/>
          <w:szCs w:val="24"/>
        </w:rPr>
        <w:t>.: CWP No.2585 of 2024</w:t>
      </w:r>
    </w:p>
    <w:p w14:paraId="7A820C92" w14:textId="77777777" w:rsidR="002064DB" w:rsidRPr="00F478C7" w:rsidRDefault="002064DB">
      <w:pPr>
        <w:rPr>
          <w:rFonts w:ascii="Times New Roman" w:hAnsi="Times New Roman" w:cs="Times New Roman"/>
          <w:sz w:val="24"/>
          <w:szCs w:val="24"/>
        </w:rPr>
      </w:pPr>
      <w:r w:rsidRPr="00901B05">
        <w:rPr>
          <w:rFonts w:ascii="Times New Roman" w:hAnsi="Times New Roman" w:cs="Times New Roman"/>
          <w:b/>
          <w:bCs/>
          <w:sz w:val="24"/>
          <w:szCs w:val="24"/>
        </w:rPr>
        <w:t>Dated on</w:t>
      </w:r>
      <w:r w:rsidRPr="00F478C7">
        <w:rPr>
          <w:rFonts w:ascii="Times New Roman" w:hAnsi="Times New Roman" w:cs="Times New Roman"/>
          <w:sz w:val="24"/>
          <w:szCs w:val="24"/>
        </w:rPr>
        <w:t>: 04.04.2024</w:t>
      </w:r>
    </w:p>
    <w:p w14:paraId="0034E019" w14:textId="7BF714B1" w:rsidR="00D0378A" w:rsidRPr="00F478C7" w:rsidRDefault="002064DB">
      <w:pPr>
        <w:rPr>
          <w:rFonts w:ascii="Times New Roman" w:hAnsi="Times New Roman" w:cs="Times New Roman"/>
          <w:sz w:val="24"/>
          <w:szCs w:val="24"/>
        </w:rPr>
      </w:pPr>
      <w:r w:rsidRPr="00901B05">
        <w:rPr>
          <w:rFonts w:ascii="Times New Roman" w:hAnsi="Times New Roman" w:cs="Times New Roman"/>
          <w:b/>
          <w:bCs/>
          <w:sz w:val="24"/>
          <w:szCs w:val="24"/>
        </w:rPr>
        <w:t>Coram</w:t>
      </w:r>
      <w:r w:rsidRPr="00F478C7">
        <w:rPr>
          <w:rFonts w:ascii="Times New Roman" w:hAnsi="Times New Roman" w:cs="Times New Roman"/>
          <w:sz w:val="24"/>
          <w:szCs w:val="24"/>
        </w:rPr>
        <w:t xml:space="preserve">: </w:t>
      </w:r>
      <w:r w:rsidR="00D0378A" w:rsidRPr="00F478C7">
        <w:rPr>
          <w:rFonts w:ascii="Times New Roman" w:hAnsi="Times New Roman" w:cs="Times New Roman"/>
          <w:sz w:val="24"/>
          <w:szCs w:val="24"/>
        </w:rPr>
        <w:t>HON’BLE MR. JUSTICE SANDEEP SHARMA</w:t>
      </w:r>
    </w:p>
    <w:p w14:paraId="70AEBE21" w14:textId="0A3D2E9F" w:rsidR="00BA7668" w:rsidRPr="00901B05" w:rsidRDefault="00D0378A">
      <w:pPr>
        <w:rPr>
          <w:rFonts w:ascii="Times New Roman" w:hAnsi="Times New Roman" w:cs="Times New Roman"/>
          <w:b/>
          <w:bCs/>
          <w:sz w:val="24"/>
          <w:szCs w:val="24"/>
        </w:rPr>
      </w:pPr>
      <w:r w:rsidRPr="00901B05">
        <w:rPr>
          <w:rFonts w:ascii="Times New Roman" w:hAnsi="Times New Roman" w:cs="Times New Roman"/>
          <w:b/>
          <w:bCs/>
          <w:sz w:val="24"/>
          <w:szCs w:val="24"/>
        </w:rPr>
        <w:t xml:space="preserve">Facts of </w:t>
      </w:r>
      <w:r w:rsidR="00F3427B" w:rsidRPr="00901B05">
        <w:rPr>
          <w:rFonts w:ascii="Times New Roman" w:hAnsi="Times New Roman" w:cs="Times New Roman"/>
          <w:b/>
          <w:bCs/>
          <w:sz w:val="24"/>
          <w:szCs w:val="24"/>
        </w:rPr>
        <w:t>t</w:t>
      </w:r>
      <w:r w:rsidRPr="00901B05">
        <w:rPr>
          <w:rFonts w:ascii="Times New Roman" w:hAnsi="Times New Roman" w:cs="Times New Roman"/>
          <w:b/>
          <w:bCs/>
          <w:sz w:val="24"/>
          <w:szCs w:val="24"/>
        </w:rPr>
        <w:t>he Case:</w:t>
      </w:r>
    </w:p>
    <w:p w14:paraId="0ADA34AD" w14:textId="6DA57134" w:rsidR="008A4ECD" w:rsidRPr="00F478C7" w:rsidRDefault="007D7BF0">
      <w:pPr>
        <w:rPr>
          <w:rFonts w:ascii="Times New Roman" w:hAnsi="Times New Roman" w:cs="Times New Roman"/>
          <w:sz w:val="24"/>
          <w:szCs w:val="24"/>
        </w:rPr>
      </w:pPr>
      <w:r w:rsidRPr="00F478C7">
        <w:rPr>
          <w:rFonts w:ascii="Times New Roman" w:hAnsi="Times New Roman" w:cs="Times New Roman"/>
          <w:sz w:val="24"/>
          <w:szCs w:val="24"/>
        </w:rPr>
        <w:t>The Petitioner in this case</w:t>
      </w:r>
      <w:r w:rsidR="003B5246" w:rsidRPr="00F478C7">
        <w:rPr>
          <w:rFonts w:ascii="Times New Roman" w:hAnsi="Times New Roman" w:cs="Times New Roman"/>
          <w:sz w:val="24"/>
          <w:szCs w:val="24"/>
        </w:rPr>
        <w:t>, had applied for new electricity connection but their application was rejected by the respondent because a huge amount was du</w:t>
      </w:r>
      <w:r w:rsidR="00C87D19" w:rsidRPr="00F478C7">
        <w:rPr>
          <w:rFonts w:ascii="Times New Roman" w:hAnsi="Times New Roman" w:cs="Times New Roman"/>
          <w:sz w:val="24"/>
          <w:szCs w:val="24"/>
        </w:rPr>
        <w:t xml:space="preserve">e to </w:t>
      </w:r>
      <w:r w:rsidR="00373D3A" w:rsidRPr="00F478C7">
        <w:rPr>
          <w:rFonts w:ascii="Times New Roman" w:hAnsi="Times New Roman" w:cs="Times New Roman"/>
          <w:sz w:val="24"/>
          <w:szCs w:val="24"/>
        </w:rPr>
        <w:t>the previous owner,</w:t>
      </w:r>
      <w:r w:rsidR="00F3427B" w:rsidRPr="00F478C7">
        <w:rPr>
          <w:rFonts w:ascii="Times New Roman" w:hAnsi="Times New Roman" w:cs="Times New Roman"/>
          <w:sz w:val="24"/>
          <w:szCs w:val="24"/>
        </w:rPr>
        <w:t xml:space="preserve"> </w:t>
      </w:r>
      <w:r w:rsidR="00373D3A" w:rsidRPr="00F478C7">
        <w:rPr>
          <w:rFonts w:ascii="Times New Roman" w:hAnsi="Times New Roman" w:cs="Times New Roman"/>
          <w:sz w:val="24"/>
          <w:szCs w:val="24"/>
        </w:rPr>
        <w:t>M/S Ankur Drug Pvt. Ltd, as the p</w:t>
      </w:r>
      <w:r w:rsidR="001B5C97" w:rsidRPr="00F478C7">
        <w:rPr>
          <w:rFonts w:ascii="Times New Roman" w:hAnsi="Times New Roman" w:cs="Times New Roman"/>
          <w:sz w:val="24"/>
          <w:szCs w:val="24"/>
        </w:rPr>
        <w:t xml:space="preserve">etitioner </w:t>
      </w:r>
      <w:r w:rsidR="00373D3A" w:rsidRPr="00F478C7">
        <w:rPr>
          <w:rFonts w:ascii="Times New Roman" w:hAnsi="Times New Roman" w:cs="Times New Roman"/>
          <w:sz w:val="24"/>
          <w:szCs w:val="24"/>
        </w:rPr>
        <w:t>did not pay that amount to the previous owner. After rejection of such application by the electricity authority. The petitioner approached to the Hon</w:t>
      </w:r>
      <w:r w:rsidR="00F06F66" w:rsidRPr="00F478C7">
        <w:rPr>
          <w:rFonts w:ascii="Times New Roman" w:hAnsi="Times New Roman" w:cs="Times New Roman"/>
          <w:sz w:val="24"/>
          <w:szCs w:val="24"/>
        </w:rPr>
        <w:t xml:space="preserve">’ble High Court of Himachal Pradesh by filling a writ </w:t>
      </w:r>
      <w:r w:rsidR="00826938" w:rsidRPr="00F478C7">
        <w:rPr>
          <w:rFonts w:ascii="Times New Roman" w:hAnsi="Times New Roman" w:cs="Times New Roman"/>
          <w:sz w:val="24"/>
          <w:szCs w:val="24"/>
        </w:rPr>
        <w:t xml:space="preserve">application </w:t>
      </w:r>
      <w:r w:rsidR="00F06F66" w:rsidRPr="00F478C7">
        <w:rPr>
          <w:rFonts w:ascii="Times New Roman" w:hAnsi="Times New Roman" w:cs="Times New Roman"/>
          <w:sz w:val="24"/>
          <w:szCs w:val="24"/>
        </w:rPr>
        <w:t>under Article 226 of the Constitution of India</w:t>
      </w:r>
      <w:r w:rsidR="00CF08D0" w:rsidRPr="00F478C7">
        <w:rPr>
          <w:rFonts w:ascii="Times New Roman" w:hAnsi="Times New Roman" w:cs="Times New Roman"/>
          <w:sz w:val="24"/>
          <w:szCs w:val="24"/>
        </w:rPr>
        <w:t xml:space="preserve"> and </w:t>
      </w:r>
      <w:r w:rsidR="00826938" w:rsidRPr="00F478C7">
        <w:rPr>
          <w:rFonts w:ascii="Times New Roman" w:hAnsi="Times New Roman" w:cs="Times New Roman"/>
          <w:sz w:val="24"/>
          <w:szCs w:val="24"/>
        </w:rPr>
        <w:t>urged before the ho</w:t>
      </w:r>
      <w:r w:rsidR="001D0DF2" w:rsidRPr="00F478C7">
        <w:rPr>
          <w:rFonts w:ascii="Times New Roman" w:hAnsi="Times New Roman" w:cs="Times New Roman"/>
          <w:sz w:val="24"/>
          <w:szCs w:val="24"/>
        </w:rPr>
        <w:t>n’ble court</w:t>
      </w:r>
      <w:r w:rsidR="005A5B27" w:rsidRPr="00F478C7">
        <w:rPr>
          <w:rFonts w:ascii="Times New Roman" w:hAnsi="Times New Roman" w:cs="Times New Roman"/>
          <w:sz w:val="24"/>
          <w:szCs w:val="24"/>
        </w:rPr>
        <w:t xml:space="preserve"> for</w:t>
      </w:r>
      <w:r w:rsidR="001D0DF2" w:rsidRPr="00F478C7">
        <w:rPr>
          <w:rFonts w:ascii="Times New Roman" w:hAnsi="Times New Roman" w:cs="Times New Roman"/>
          <w:sz w:val="24"/>
          <w:szCs w:val="24"/>
        </w:rPr>
        <w:t xml:space="preserve"> </w:t>
      </w:r>
      <w:r w:rsidR="00E41DD1" w:rsidRPr="00F478C7">
        <w:rPr>
          <w:rFonts w:ascii="Times New Roman" w:hAnsi="Times New Roman" w:cs="Times New Roman"/>
          <w:sz w:val="24"/>
          <w:szCs w:val="24"/>
        </w:rPr>
        <w:t xml:space="preserve">issuing writ of Mandamus </w:t>
      </w:r>
      <w:r w:rsidR="003E45F4" w:rsidRPr="00F478C7">
        <w:rPr>
          <w:rFonts w:ascii="Times New Roman" w:hAnsi="Times New Roman" w:cs="Times New Roman"/>
          <w:sz w:val="24"/>
          <w:szCs w:val="24"/>
        </w:rPr>
        <w:t xml:space="preserve">for </w:t>
      </w:r>
      <w:r w:rsidR="000D093F" w:rsidRPr="00F478C7">
        <w:rPr>
          <w:rFonts w:ascii="Times New Roman" w:hAnsi="Times New Roman" w:cs="Times New Roman"/>
          <w:sz w:val="24"/>
          <w:szCs w:val="24"/>
        </w:rPr>
        <w:t xml:space="preserve">quashing the communication </w:t>
      </w:r>
      <w:r w:rsidR="001E3A42" w:rsidRPr="00F478C7">
        <w:rPr>
          <w:rFonts w:ascii="Times New Roman" w:hAnsi="Times New Roman" w:cs="Times New Roman"/>
          <w:sz w:val="24"/>
          <w:szCs w:val="24"/>
        </w:rPr>
        <w:t>dated on 02.</w:t>
      </w:r>
      <w:r w:rsidR="004109F7" w:rsidRPr="00F478C7">
        <w:rPr>
          <w:rFonts w:ascii="Times New Roman" w:hAnsi="Times New Roman" w:cs="Times New Roman"/>
          <w:sz w:val="24"/>
          <w:szCs w:val="24"/>
        </w:rPr>
        <w:t>03.2024</w:t>
      </w:r>
      <w:r w:rsidR="009703D3" w:rsidRPr="00F478C7">
        <w:rPr>
          <w:rFonts w:ascii="Times New Roman" w:hAnsi="Times New Roman" w:cs="Times New Roman"/>
          <w:sz w:val="24"/>
          <w:szCs w:val="24"/>
        </w:rPr>
        <w:t>(Annexure P2)</w:t>
      </w:r>
      <w:r w:rsidR="00913EFC" w:rsidRPr="00F478C7">
        <w:rPr>
          <w:rFonts w:ascii="Times New Roman" w:hAnsi="Times New Roman" w:cs="Times New Roman"/>
          <w:sz w:val="24"/>
          <w:szCs w:val="24"/>
        </w:rPr>
        <w:t xml:space="preserve"> as it was ultra </w:t>
      </w:r>
      <w:r w:rsidR="00CE322D" w:rsidRPr="00F478C7">
        <w:rPr>
          <w:rFonts w:ascii="Times New Roman" w:hAnsi="Times New Roman" w:cs="Times New Roman"/>
          <w:sz w:val="24"/>
          <w:szCs w:val="24"/>
        </w:rPr>
        <w:t>vires</w:t>
      </w:r>
      <w:r w:rsidR="00CF72E2" w:rsidRPr="00F478C7">
        <w:rPr>
          <w:rFonts w:ascii="Times New Roman" w:hAnsi="Times New Roman" w:cs="Times New Roman"/>
          <w:sz w:val="24"/>
          <w:szCs w:val="24"/>
        </w:rPr>
        <w:t xml:space="preserve"> and </w:t>
      </w:r>
      <w:r w:rsidR="0023747E" w:rsidRPr="00F478C7">
        <w:rPr>
          <w:rFonts w:ascii="Times New Roman" w:hAnsi="Times New Roman" w:cs="Times New Roman"/>
          <w:sz w:val="24"/>
          <w:szCs w:val="24"/>
        </w:rPr>
        <w:t xml:space="preserve">also </w:t>
      </w:r>
      <w:r w:rsidR="00B14E36" w:rsidRPr="00F478C7">
        <w:rPr>
          <w:rFonts w:ascii="Times New Roman" w:hAnsi="Times New Roman" w:cs="Times New Roman"/>
          <w:sz w:val="24"/>
          <w:szCs w:val="24"/>
        </w:rPr>
        <w:t>provide</w:t>
      </w:r>
      <w:r w:rsidR="0028348C" w:rsidRPr="00F478C7">
        <w:rPr>
          <w:rFonts w:ascii="Times New Roman" w:hAnsi="Times New Roman" w:cs="Times New Roman"/>
          <w:sz w:val="24"/>
          <w:szCs w:val="24"/>
        </w:rPr>
        <w:t xml:space="preserve"> for</w:t>
      </w:r>
      <w:r w:rsidR="00B14E36" w:rsidRPr="00F478C7">
        <w:rPr>
          <w:rFonts w:ascii="Times New Roman" w:hAnsi="Times New Roman" w:cs="Times New Roman"/>
          <w:sz w:val="24"/>
          <w:szCs w:val="24"/>
        </w:rPr>
        <w:t xml:space="preserve"> compensation </w:t>
      </w:r>
      <w:r w:rsidR="0028348C" w:rsidRPr="00F478C7">
        <w:rPr>
          <w:rFonts w:ascii="Times New Roman" w:hAnsi="Times New Roman" w:cs="Times New Roman"/>
          <w:sz w:val="24"/>
          <w:szCs w:val="24"/>
        </w:rPr>
        <w:t xml:space="preserve">because </w:t>
      </w:r>
      <w:r w:rsidR="002A5D27" w:rsidRPr="00F478C7">
        <w:rPr>
          <w:rFonts w:ascii="Times New Roman" w:hAnsi="Times New Roman" w:cs="Times New Roman"/>
          <w:sz w:val="24"/>
          <w:szCs w:val="24"/>
        </w:rPr>
        <w:t>respondent</w:t>
      </w:r>
      <w:r w:rsidR="0090392B" w:rsidRPr="00F478C7">
        <w:rPr>
          <w:rFonts w:ascii="Times New Roman" w:hAnsi="Times New Roman" w:cs="Times New Roman"/>
          <w:sz w:val="24"/>
          <w:szCs w:val="24"/>
        </w:rPr>
        <w:t xml:space="preserve"> had</w:t>
      </w:r>
      <w:r w:rsidR="002A5D27" w:rsidRPr="00F478C7">
        <w:rPr>
          <w:rFonts w:ascii="Times New Roman" w:hAnsi="Times New Roman" w:cs="Times New Roman"/>
          <w:sz w:val="24"/>
          <w:szCs w:val="24"/>
        </w:rPr>
        <w:t xml:space="preserve"> </w:t>
      </w:r>
      <w:r w:rsidR="00F3427B" w:rsidRPr="00F478C7">
        <w:rPr>
          <w:rFonts w:ascii="Times New Roman" w:hAnsi="Times New Roman" w:cs="Times New Roman"/>
          <w:sz w:val="24"/>
          <w:szCs w:val="24"/>
        </w:rPr>
        <w:t>breached</w:t>
      </w:r>
      <w:r w:rsidR="002A5D27" w:rsidRPr="00F478C7">
        <w:rPr>
          <w:rFonts w:ascii="Times New Roman" w:hAnsi="Times New Roman" w:cs="Times New Roman"/>
          <w:sz w:val="24"/>
          <w:szCs w:val="24"/>
        </w:rPr>
        <w:t xml:space="preserve"> the terms of the Himachal Pradesh   Electricity</w:t>
      </w:r>
      <w:r w:rsidR="00C3788A" w:rsidRPr="00F478C7">
        <w:rPr>
          <w:rFonts w:ascii="Times New Roman" w:hAnsi="Times New Roman" w:cs="Times New Roman"/>
          <w:sz w:val="24"/>
          <w:szCs w:val="24"/>
        </w:rPr>
        <w:t xml:space="preserve"> </w:t>
      </w:r>
      <w:r w:rsidR="002A5D27" w:rsidRPr="00F478C7">
        <w:rPr>
          <w:rFonts w:ascii="Times New Roman" w:hAnsi="Times New Roman" w:cs="Times New Roman"/>
          <w:sz w:val="24"/>
          <w:szCs w:val="24"/>
        </w:rPr>
        <w:t>Regulatory   Commission (Distribution   Performance Standards) Regulations, 2010</w:t>
      </w:r>
      <w:r w:rsidR="008A4ECD" w:rsidRPr="00F478C7">
        <w:rPr>
          <w:rFonts w:ascii="Times New Roman" w:hAnsi="Times New Roman" w:cs="Times New Roman"/>
          <w:sz w:val="24"/>
          <w:szCs w:val="24"/>
        </w:rPr>
        <w:t>.</w:t>
      </w:r>
    </w:p>
    <w:p w14:paraId="6C584854" w14:textId="27066472" w:rsidR="00F3427B" w:rsidRPr="00901B05" w:rsidRDefault="007C1302" w:rsidP="00F3427B">
      <w:pPr>
        <w:rPr>
          <w:rFonts w:ascii="Times New Roman" w:hAnsi="Times New Roman" w:cs="Times New Roman"/>
          <w:b/>
          <w:bCs/>
          <w:sz w:val="24"/>
          <w:szCs w:val="24"/>
        </w:rPr>
      </w:pPr>
      <w:r>
        <w:rPr>
          <w:rFonts w:ascii="Times New Roman" w:hAnsi="Times New Roman" w:cs="Times New Roman"/>
          <w:b/>
          <w:bCs/>
          <w:sz w:val="24"/>
          <w:szCs w:val="24"/>
        </w:rPr>
        <w:t>L</w:t>
      </w:r>
      <w:r w:rsidR="00F3427B" w:rsidRPr="00901B05">
        <w:rPr>
          <w:rFonts w:ascii="Times New Roman" w:hAnsi="Times New Roman" w:cs="Times New Roman"/>
          <w:b/>
          <w:bCs/>
          <w:sz w:val="24"/>
          <w:szCs w:val="24"/>
        </w:rPr>
        <w:t>egal Provisions:</w:t>
      </w:r>
    </w:p>
    <w:p w14:paraId="73D2ADB3" w14:textId="6B8DB65D" w:rsidR="00F3427B" w:rsidRPr="00F478C7" w:rsidRDefault="00F3427B" w:rsidP="00F3427B">
      <w:pPr>
        <w:rPr>
          <w:rFonts w:ascii="Times New Roman" w:hAnsi="Times New Roman" w:cs="Times New Roman"/>
          <w:sz w:val="24"/>
          <w:szCs w:val="24"/>
        </w:rPr>
      </w:pPr>
      <w:r w:rsidRPr="00F478C7">
        <w:rPr>
          <w:rFonts w:ascii="Times New Roman" w:hAnsi="Times New Roman" w:cs="Times New Roman"/>
          <w:sz w:val="24"/>
          <w:szCs w:val="24"/>
        </w:rPr>
        <w:t>Article 226 of the Constitution of India:</w:t>
      </w:r>
      <w:r w:rsidR="00A30415" w:rsidRPr="00F478C7">
        <w:rPr>
          <w:rFonts w:ascii="Times New Roman" w:hAnsi="Times New Roman" w:cs="Times New Roman"/>
          <w:sz w:val="24"/>
          <w:szCs w:val="24"/>
        </w:rPr>
        <w:t xml:space="preserve"> It empowers the High Court to issue writ</w:t>
      </w:r>
      <w:r w:rsidR="007F0303">
        <w:rPr>
          <w:rFonts w:ascii="Times New Roman" w:hAnsi="Times New Roman" w:cs="Times New Roman"/>
          <w:sz w:val="24"/>
          <w:szCs w:val="24"/>
        </w:rPr>
        <w:t>.</w:t>
      </w:r>
    </w:p>
    <w:p w14:paraId="2F4916E6" w14:textId="294D5976" w:rsidR="00F3427B" w:rsidRPr="00F478C7" w:rsidRDefault="00F3427B" w:rsidP="00F3427B">
      <w:pPr>
        <w:rPr>
          <w:rFonts w:ascii="Times New Roman" w:hAnsi="Times New Roman" w:cs="Times New Roman"/>
          <w:sz w:val="24"/>
          <w:szCs w:val="24"/>
        </w:rPr>
      </w:pPr>
      <w:r w:rsidRPr="00F478C7">
        <w:rPr>
          <w:rFonts w:ascii="Times New Roman" w:hAnsi="Times New Roman" w:cs="Times New Roman"/>
          <w:sz w:val="24"/>
          <w:szCs w:val="24"/>
        </w:rPr>
        <w:t>Section 13 of the SARFAESI Act:</w:t>
      </w:r>
      <w:r w:rsidR="007F0303">
        <w:rPr>
          <w:rFonts w:ascii="Times New Roman" w:hAnsi="Times New Roman" w:cs="Times New Roman"/>
          <w:sz w:val="24"/>
          <w:szCs w:val="24"/>
        </w:rPr>
        <w:t xml:space="preserve"> It states about the </w:t>
      </w:r>
      <w:r w:rsidR="007F0303">
        <w:t>enforcement of security interest.</w:t>
      </w:r>
    </w:p>
    <w:p w14:paraId="2C316EFA" w14:textId="3F1F40DA" w:rsidR="00B42FFC" w:rsidRPr="00F478C7" w:rsidRDefault="00B42FFC" w:rsidP="00F3427B">
      <w:pPr>
        <w:rPr>
          <w:rFonts w:ascii="Times New Roman" w:hAnsi="Times New Roman" w:cs="Times New Roman"/>
          <w:sz w:val="24"/>
          <w:szCs w:val="24"/>
        </w:rPr>
      </w:pPr>
      <w:r w:rsidRPr="00F478C7">
        <w:rPr>
          <w:rFonts w:ascii="Times New Roman" w:hAnsi="Times New Roman" w:cs="Times New Roman"/>
          <w:sz w:val="24"/>
          <w:szCs w:val="24"/>
        </w:rPr>
        <w:t>Section 77 of Companies Act, 2013:</w:t>
      </w:r>
      <w:r w:rsidR="007F0303">
        <w:rPr>
          <w:rFonts w:ascii="Times New Roman" w:hAnsi="Times New Roman" w:cs="Times New Roman"/>
          <w:sz w:val="24"/>
          <w:szCs w:val="24"/>
        </w:rPr>
        <w:t xml:space="preserve"> It provides for the duty to register charges.</w:t>
      </w:r>
    </w:p>
    <w:p w14:paraId="5CF1BB57" w14:textId="61A44370" w:rsidR="00B42FFC" w:rsidRPr="00F478C7" w:rsidRDefault="00B42FFC" w:rsidP="00F3427B">
      <w:pPr>
        <w:rPr>
          <w:rFonts w:ascii="Times New Roman" w:hAnsi="Times New Roman" w:cs="Times New Roman"/>
          <w:sz w:val="24"/>
          <w:szCs w:val="24"/>
        </w:rPr>
      </w:pPr>
      <w:r w:rsidRPr="00F478C7">
        <w:rPr>
          <w:rFonts w:ascii="Times New Roman" w:hAnsi="Times New Roman" w:cs="Times New Roman"/>
          <w:sz w:val="24"/>
          <w:szCs w:val="24"/>
        </w:rPr>
        <w:t>Section 78 of Companies Act, 2013:</w:t>
      </w:r>
      <w:r w:rsidR="00BC57E2">
        <w:rPr>
          <w:rFonts w:ascii="Times New Roman" w:hAnsi="Times New Roman" w:cs="Times New Roman"/>
          <w:sz w:val="24"/>
          <w:szCs w:val="24"/>
        </w:rPr>
        <w:t xml:space="preserve"> </w:t>
      </w:r>
      <w:r w:rsidR="00BC57E2" w:rsidRPr="00BC57E2">
        <w:t>A</w:t>
      </w:r>
      <w:r w:rsidR="00BC57E2">
        <w:t>pplication for Registration of Charge.</w:t>
      </w:r>
    </w:p>
    <w:p w14:paraId="3EEBFD0F" w14:textId="4C60E867" w:rsidR="00B42FFC" w:rsidRPr="00F478C7" w:rsidRDefault="00B42FFC" w:rsidP="00F3427B">
      <w:pPr>
        <w:rPr>
          <w:rFonts w:ascii="Times New Roman" w:hAnsi="Times New Roman" w:cs="Times New Roman"/>
          <w:sz w:val="24"/>
          <w:szCs w:val="24"/>
        </w:rPr>
      </w:pPr>
      <w:r w:rsidRPr="00F478C7">
        <w:rPr>
          <w:rFonts w:ascii="Times New Roman" w:hAnsi="Times New Roman" w:cs="Times New Roman"/>
          <w:sz w:val="24"/>
          <w:szCs w:val="24"/>
        </w:rPr>
        <w:t>Section 100 of the Transfer of Property Act:</w:t>
      </w:r>
      <w:r w:rsidR="00BC57E2">
        <w:rPr>
          <w:rFonts w:ascii="Times New Roman" w:hAnsi="Times New Roman" w:cs="Times New Roman"/>
          <w:sz w:val="24"/>
          <w:szCs w:val="24"/>
        </w:rPr>
        <w:t xml:space="preserve"> Charges</w:t>
      </w:r>
    </w:p>
    <w:p w14:paraId="3948A994" w14:textId="00E0BCC6" w:rsidR="00F3427B" w:rsidRPr="00901B05" w:rsidRDefault="00F3427B" w:rsidP="00F3427B">
      <w:pPr>
        <w:rPr>
          <w:rFonts w:ascii="Times New Roman" w:hAnsi="Times New Roman" w:cs="Times New Roman"/>
          <w:b/>
          <w:bCs/>
          <w:sz w:val="24"/>
          <w:szCs w:val="24"/>
        </w:rPr>
      </w:pPr>
      <w:r w:rsidRPr="00901B05">
        <w:rPr>
          <w:rFonts w:ascii="Times New Roman" w:hAnsi="Times New Roman" w:cs="Times New Roman"/>
          <w:b/>
          <w:bCs/>
          <w:sz w:val="24"/>
          <w:szCs w:val="24"/>
        </w:rPr>
        <w:t>Contentions of the Appellant:</w:t>
      </w:r>
    </w:p>
    <w:p w14:paraId="4A697639" w14:textId="0C73DE05" w:rsidR="00F3427B" w:rsidRPr="00F478C7" w:rsidRDefault="00A30415" w:rsidP="00F3427B">
      <w:pPr>
        <w:rPr>
          <w:rFonts w:ascii="Times New Roman" w:hAnsi="Times New Roman" w:cs="Times New Roman"/>
          <w:sz w:val="24"/>
          <w:szCs w:val="24"/>
        </w:rPr>
      </w:pPr>
      <w:r w:rsidRPr="00F478C7">
        <w:rPr>
          <w:rFonts w:ascii="Times New Roman" w:hAnsi="Times New Roman" w:cs="Times New Roman"/>
          <w:sz w:val="24"/>
          <w:szCs w:val="24"/>
        </w:rPr>
        <w:t>M/s Pure &amp; Cure Healthcare Pvt. Ltd., herein the petitioner contended that they shouldn't have to pay the previous owner's outstanding electricity dues because they bought the property in an auction free of any past debts, as confirmed by the Sale Certificate. Further, they claimed that it was unfair and against the law for the electricity board to demand payment of old dues before granting a new electricity connection. Additionally, they sought compensation for the delay caused by the board's refusal to provide the connection.</w:t>
      </w:r>
    </w:p>
    <w:p w14:paraId="21BDF342" w14:textId="2ED87D0D" w:rsidR="00F3427B" w:rsidRPr="00901B05" w:rsidRDefault="00F3427B" w:rsidP="00F3427B">
      <w:pPr>
        <w:rPr>
          <w:rFonts w:ascii="Times New Roman" w:hAnsi="Times New Roman" w:cs="Times New Roman"/>
          <w:b/>
          <w:bCs/>
          <w:sz w:val="24"/>
          <w:szCs w:val="24"/>
        </w:rPr>
      </w:pPr>
      <w:r w:rsidRPr="00901B05">
        <w:rPr>
          <w:rFonts w:ascii="Times New Roman" w:hAnsi="Times New Roman" w:cs="Times New Roman"/>
          <w:b/>
          <w:bCs/>
          <w:sz w:val="24"/>
          <w:szCs w:val="24"/>
        </w:rPr>
        <w:t>Contentions of the Respondents:</w:t>
      </w:r>
    </w:p>
    <w:p w14:paraId="0D9B67EC" w14:textId="4B30E9EC" w:rsidR="00B551CF" w:rsidRPr="00F478C7" w:rsidRDefault="00B551CF" w:rsidP="00F3427B">
      <w:pPr>
        <w:rPr>
          <w:rFonts w:ascii="Times New Roman" w:hAnsi="Times New Roman" w:cs="Times New Roman"/>
          <w:sz w:val="24"/>
          <w:szCs w:val="24"/>
        </w:rPr>
      </w:pPr>
      <w:r w:rsidRPr="00F478C7">
        <w:rPr>
          <w:rFonts w:ascii="Times New Roman" w:hAnsi="Times New Roman" w:cs="Times New Roman"/>
          <w:sz w:val="24"/>
          <w:szCs w:val="24"/>
        </w:rPr>
        <w:t>The HPSEBL, herein the respondent contended that according to their regulations, the new owner must either clear the previous owner's outstanding electricity dues of Rs. 20,43,837 with interest or pay an advance cost along with an average bill amount to get a new electricity connection. They maintained that these payments were necessary for providing the new connection, regardless of the property's sale through an auction.</w:t>
      </w:r>
    </w:p>
    <w:p w14:paraId="7E0869C5" w14:textId="527B1655" w:rsidR="00F3427B" w:rsidRPr="00901B05" w:rsidRDefault="00F3427B" w:rsidP="00F3427B">
      <w:pPr>
        <w:rPr>
          <w:rFonts w:ascii="Times New Roman" w:hAnsi="Times New Roman" w:cs="Times New Roman"/>
          <w:b/>
          <w:bCs/>
          <w:sz w:val="24"/>
          <w:szCs w:val="24"/>
        </w:rPr>
      </w:pPr>
      <w:r w:rsidRPr="00901B05">
        <w:rPr>
          <w:rFonts w:ascii="Times New Roman" w:hAnsi="Times New Roman" w:cs="Times New Roman"/>
          <w:b/>
          <w:bCs/>
          <w:sz w:val="24"/>
          <w:szCs w:val="24"/>
        </w:rPr>
        <w:t>Court’s Analysis &amp; Judgement:</w:t>
      </w:r>
    </w:p>
    <w:p w14:paraId="03741791" w14:textId="4914A3C0" w:rsidR="0090392B" w:rsidRDefault="00D00E13">
      <w:pPr>
        <w:rPr>
          <w:rFonts w:ascii="Times New Roman" w:hAnsi="Times New Roman" w:cs="Times New Roman"/>
          <w:sz w:val="24"/>
          <w:szCs w:val="24"/>
        </w:rPr>
      </w:pPr>
      <w:r w:rsidRPr="00D00E13">
        <w:rPr>
          <w:rFonts w:ascii="Times New Roman" w:hAnsi="Times New Roman" w:cs="Times New Roman"/>
          <w:sz w:val="24"/>
          <w:szCs w:val="24"/>
        </w:rPr>
        <w:t>The court reviewed the case and determined that M/s Pure &amp; Cure Healthcare Pvt. Ltd.</w:t>
      </w:r>
      <w:r>
        <w:rPr>
          <w:rFonts w:ascii="Times New Roman" w:hAnsi="Times New Roman" w:cs="Times New Roman"/>
          <w:sz w:val="24"/>
          <w:szCs w:val="24"/>
        </w:rPr>
        <w:t xml:space="preserve">, herein the petitioner, </w:t>
      </w:r>
      <w:r w:rsidRPr="00D00E13">
        <w:rPr>
          <w:rFonts w:ascii="Times New Roman" w:hAnsi="Times New Roman" w:cs="Times New Roman"/>
          <w:sz w:val="24"/>
          <w:szCs w:val="24"/>
        </w:rPr>
        <w:t xml:space="preserve">bought the property in an auction, which included a Sale Certificate stating the property was free of previous debts. </w:t>
      </w:r>
      <w:r>
        <w:rPr>
          <w:rFonts w:ascii="Times New Roman" w:hAnsi="Times New Roman" w:cs="Times New Roman"/>
          <w:sz w:val="24"/>
          <w:szCs w:val="24"/>
        </w:rPr>
        <w:t>Further, t</w:t>
      </w:r>
      <w:r w:rsidRPr="00D00E13">
        <w:rPr>
          <w:rFonts w:ascii="Times New Roman" w:hAnsi="Times New Roman" w:cs="Times New Roman"/>
          <w:sz w:val="24"/>
          <w:szCs w:val="24"/>
        </w:rPr>
        <w:t xml:space="preserve">he court found that it was unfair for the electricity board to demand that the new owner pay the former owner's outstanding electricity dues. </w:t>
      </w:r>
      <w:r>
        <w:rPr>
          <w:rFonts w:ascii="Times New Roman" w:hAnsi="Times New Roman" w:cs="Times New Roman"/>
          <w:sz w:val="24"/>
          <w:szCs w:val="24"/>
        </w:rPr>
        <w:t>However, t</w:t>
      </w:r>
      <w:r w:rsidRPr="00D00E13">
        <w:rPr>
          <w:rFonts w:ascii="Times New Roman" w:hAnsi="Times New Roman" w:cs="Times New Roman"/>
          <w:sz w:val="24"/>
          <w:szCs w:val="24"/>
        </w:rPr>
        <w:t xml:space="preserve">he </w:t>
      </w:r>
      <w:r>
        <w:rPr>
          <w:rFonts w:ascii="Times New Roman" w:hAnsi="Times New Roman" w:cs="Times New Roman"/>
          <w:sz w:val="24"/>
          <w:szCs w:val="24"/>
        </w:rPr>
        <w:t>hon’ble bench</w:t>
      </w:r>
      <w:r w:rsidRPr="00D00E13">
        <w:rPr>
          <w:rFonts w:ascii="Times New Roman" w:hAnsi="Times New Roman" w:cs="Times New Roman"/>
          <w:sz w:val="24"/>
          <w:szCs w:val="24"/>
        </w:rPr>
        <w:t xml:space="preserve"> decided that the electricity board's condition </w:t>
      </w:r>
      <w:r>
        <w:rPr>
          <w:rFonts w:ascii="Times New Roman" w:hAnsi="Times New Roman" w:cs="Times New Roman"/>
          <w:sz w:val="24"/>
          <w:szCs w:val="24"/>
        </w:rPr>
        <w:t xml:space="preserve">regarding the </w:t>
      </w:r>
      <w:r w:rsidRPr="00D00E13">
        <w:rPr>
          <w:rFonts w:ascii="Times New Roman" w:hAnsi="Times New Roman" w:cs="Times New Roman"/>
          <w:sz w:val="24"/>
          <w:szCs w:val="24"/>
        </w:rPr>
        <w:t>requir</w:t>
      </w:r>
      <w:r>
        <w:rPr>
          <w:rFonts w:ascii="Times New Roman" w:hAnsi="Times New Roman" w:cs="Times New Roman"/>
          <w:sz w:val="24"/>
          <w:szCs w:val="24"/>
        </w:rPr>
        <w:t>ement of</w:t>
      </w:r>
      <w:r w:rsidRPr="00D00E13">
        <w:rPr>
          <w:rFonts w:ascii="Times New Roman" w:hAnsi="Times New Roman" w:cs="Times New Roman"/>
          <w:sz w:val="24"/>
          <w:szCs w:val="24"/>
        </w:rPr>
        <w:t xml:space="preserve"> payment of </w:t>
      </w:r>
      <w:r>
        <w:rPr>
          <w:rFonts w:ascii="Times New Roman" w:hAnsi="Times New Roman" w:cs="Times New Roman"/>
          <w:sz w:val="24"/>
          <w:szCs w:val="24"/>
        </w:rPr>
        <w:t xml:space="preserve">the </w:t>
      </w:r>
      <w:r w:rsidRPr="00D00E13">
        <w:rPr>
          <w:rFonts w:ascii="Times New Roman" w:hAnsi="Times New Roman" w:cs="Times New Roman"/>
          <w:sz w:val="24"/>
          <w:szCs w:val="24"/>
        </w:rPr>
        <w:t>old dues before granting a new connection was unlawful. Therefore, the court ordered the electricity board to provide the new electricity connection without insisting on the payment of the old dues and also addressed the issue of compensating the company for the delay.</w:t>
      </w:r>
    </w:p>
    <w:p w14:paraId="47B485EF" w14:textId="77777777" w:rsidR="00901B05" w:rsidRPr="00B1195C" w:rsidRDefault="00901B05" w:rsidP="00901B05">
      <w:pPr>
        <w:rPr>
          <w:rFonts w:ascii="Times New Roman" w:hAnsi="Times New Roman" w:cs="Times New Roman"/>
          <w:i/>
          <w:iCs/>
          <w:sz w:val="24"/>
          <w:szCs w:val="24"/>
        </w:rPr>
      </w:pPr>
      <w:r w:rsidRPr="002F48F3">
        <w:rPr>
          <w:rFonts w:ascii="Times New Roman" w:hAnsi="Times New Roman" w:cs="Times New Roman"/>
          <w:i/>
          <w:iCs/>
          <w:sz w:val="24"/>
          <w:szCs w:val="24"/>
        </w:rPr>
        <w:t>“PRIME LEGAL is a full-service law firm that has won a National Award and has more than 20 years of experience in an array of sectors and practice areas. Prime legal fall into a category of best law firm, best lawyer, best family lawyer, best divorce lawyer, best divorce law firm, best criminal lawyer, best criminal law firm, best consumer lawyer, best civil lawyer.”</w:t>
      </w:r>
    </w:p>
    <w:p w14:paraId="7382EA21" w14:textId="77777777" w:rsidR="00901B05" w:rsidRPr="002F48F3" w:rsidRDefault="00901B05" w:rsidP="00901B05">
      <w:pPr>
        <w:rPr>
          <w:rFonts w:ascii="Times New Roman" w:hAnsi="Times New Roman" w:cs="Times New Roman"/>
          <w:b/>
          <w:bCs/>
          <w:sz w:val="24"/>
          <w:szCs w:val="24"/>
        </w:rPr>
      </w:pPr>
      <w:r w:rsidRPr="002F48F3">
        <w:rPr>
          <w:rFonts w:ascii="Times New Roman" w:hAnsi="Times New Roman" w:cs="Times New Roman"/>
          <w:b/>
          <w:bCs/>
          <w:sz w:val="24"/>
          <w:szCs w:val="24"/>
        </w:rPr>
        <w:t>Judgement Reviewed By- Shramana Sengupta</w:t>
      </w:r>
    </w:p>
    <w:p w14:paraId="1333683A" w14:textId="77777777" w:rsidR="00901B05" w:rsidRPr="00F478C7" w:rsidRDefault="00901B05">
      <w:pPr>
        <w:rPr>
          <w:rFonts w:ascii="Times New Roman" w:hAnsi="Times New Roman" w:cs="Times New Roman"/>
          <w:sz w:val="24"/>
          <w:szCs w:val="24"/>
        </w:rPr>
      </w:pPr>
    </w:p>
    <w:p w14:paraId="29048206" w14:textId="77777777" w:rsidR="00373D3A" w:rsidRPr="00F478C7" w:rsidRDefault="00373D3A">
      <w:pPr>
        <w:rPr>
          <w:rFonts w:ascii="Times New Roman" w:hAnsi="Times New Roman" w:cs="Times New Roman"/>
          <w:sz w:val="24"/>
          <w:szCs w:val="24"/>
        </w:rPr>
      </w:pPr>
    </w:p>
    <w:p w14:paraId="59F2A561" w14:textId="77777777" w:rsidR="003A2885" w:rsidRPr="00F478C7" w:rsidRDefault="003A2885">
      <w:pPr>
        <w:rPr>
          <w:rFonts w:ascii="Times New Roman" w:hAnsi="Times New Roman" w:cs="Times New Roman"/>
          <w:sz w:val="24"/>
          <w:szCs w:val="24"/>
        </w:rPr>
      </w:pPr>
    </w:p>
    <w:p w14:paraId="6553BA8E" w14:textId="327BE8D5" w:rsidR="003A2885" w:rsidRPr="00F478C7" w:rsidRDefault="003A2885">
      <w:pPr>
        <w:rPr>
          <w:rFonts w:ascii="Times New Roman" w:hAnsi="Times New Roman" w:cs="Times New Roman"/>
          <w:sz w:val="24"/>
          <w:szCs w:val="24"/>
        </w:rPr>
      </w:pPr>
    </w:p>
    <w:sectPr w:rsidR="003A2885" w:rsidRPr="00F47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6EA9"/>
    <w:multiLevelType w:val="hybridMultilevel"/>
    <w:tmpl w:val="21A05B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11452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DB"/>
    <w:rsid w:val="00031B0A"/>
    <w:rsid w:val="000525AC"/>
    <w:rsid w:val="000C19AB"/>
    <w:rsid w:val="000D093F"/>
    <w:rsid w:val="00127B99"/>
    <w:rsid w:val="00155EFF"/>
    <w:rsid w:val="001B5C97"/>
    <w:rsid w:val="001D0DF2"/>
    <w:rsid w:val="001E3A42"/>
    <w:rsid w:val="002064DB"/>
    <w:rsid w:val="0023747E"/>
    <w:rsid w:val="0028348C"/>
    <w:rsid w:val="002A0001"/>
    <w:rsid w:val="002A5D27"/>
    <w:rsid w:val="002B3843"/>
    <w:rsid w:val="00373D3A"/>
    <w:rsid w:val="003A2885"/>
    <w:rsid w:val="003B5246"/>
    <w:rsid w:val="003D2918"/>
    <w:rsid w:val="003E45F4"/>
    <w:rsid w:val="004109F7"/>
    <w:rsid w:val="00455CEB"/>
    <w:rsid w:val="004971F5"/>
    <w:rsid w:val="004C6788"/>
    <w:rsid w:val="004C7C12"/>
    <w:rsid w:val="005A5B27"/>
    <w:rsid w:val="005B22DD"/>
    <w:rsid w:val="005B7EBF"/>
    <w:rsid w:val="00617FDB"/>
    <w:rsid w:val="006212F0"/>
    <w:rsid w:val="00712D26"/>
    <w:rsid w:val="007242EE"/>
    <w:rsid w:val="0079073D"/>
    <w:rsid w:val="007C1302"/>
    <w:rsid w:val="007C4130"/>
    <w:rsid w:val="007D7BF0"/>
    <w:rsid w:val="007F0303"/>
    <w:rsid w:val="00826938"/>
    <w:rsid w:val="008A4ECD"/>
    <w:rsid w:val="008D1881"/>
    <w:rsid w:val="00901B05"/>
    <w:rsid w:val="0090392B"/>
    <w:rsid w:val="00913EFC"/>
    <w:rsid w:val="009703D3"/>
    <w:rsid w:val="0098537C"/>
    <w:rsid w:val="00991D29"/>
    <w:rsid w:val="00A30415"/>
    <w:rsid w:val="00B14E36"/>
    <w:rsid w:val="00B37195"/>
    <w:rsid w:val="00B42FFC"/>
    <w:rsid w:val="00B551CF"/>
    <w:rsid w:val="00B83C45"/>
    <w:rsid w:val="00BA61E7"/>
    <w:rsid w:val="00BA7668"/>
    <w:rsid w:val="00BC57E2"/>
    <w:rsid w:val="00BD0754"/>
    <w:rsid w:val="00BE451E"/>
    <w:rsid w:val="00C3788A"/>
    <w:rsid w:val="00C87D19"/>
    <w:rsid w:val="00CE322D"/>
    <w:rsid w:val="00CF08D0"/>
    <w:rsid w:val="00CF72E2"/>
    <w:rsid w:val="00D00E13"/>
    <w:rsid w:val="00D0378A"/>
    <w:rsid w:val="00DC6F0C"/>
    <w:rsid w:val="00E26325"/>
    <w:rsid w:val="00E41DD1"/>
    <w:rsid w:val="00F06F66"/>
    <w:rsid w:val="00F3427B"/>
    <w:rsid w:val="00F478C7"/>
    <w:rsid w:val="00F625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BFC3"/>
  <w15:chartTrackingRefBased/>
  <w15:docId w15:val="{0CCDD8A5-1211-4773-95A4-F445BA28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27B"/>
    <w:pPr>
      <w:ind w:left="720"/>
      <w:contextualSpacing/>
    </w:pPr>
  </w:style>
  <w:style w:type="character" w:styleId="Emphasis">
    <w:name w:val="Emphasis"/>
    <w:basedOn w:val="DefaultParagraphFont"/>
    <w:uiPriority w:val="20"/>
    <w:qFormat/>
    <w:rsid w:val="00BC57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olqonlinelegalexperts1@outlook.com</dc:creator>
  <cp:keywords/>
  <dc:description/>
  <cp:lastModifiedBy>Shramana Sengupta</cp:lastModifiedBy>
  <cp:revision>2</cp:revision>
  <dcterms:created xsi:type="dcterms:W3CDTF">2024-06-09T09:26:00Z</dcterms:created>
  <dcterms:modified xsi:type="dcterms:W3CDTF">2024-06-09T09:26:00Z</dcterms:modified>
</cp:coreProperties>
</file>