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C134B" w14:textId="26CE1A02" w:rsidR="001C3E0F" w:rsidRPr="0018077C" w:rsidRDefault="0018077C" w:rsidP="0018077C">
      <w:pPr>
        <w:jc w:val="center"/>
        <w:rPr>
          <w:rFonts w:ascii="Times New Roman" w:hAnsi="Times New Roman" w:cs="Times New Roman"/>
          <w:b/>
          <w:bCs/>
          <w:sz w:val="24"/>
          <w:szCs w:val="24"/>
        </w:rPr>
      </w:pPr>
      <w:r w:rsidRPr="0018077C">
        <w:rPr>
          <w:rFonts w:ascii="Times New Roman" w:hAnsi="Times New Roman" w:cs="Times New Roman"/>
          <w:b/>
          <w:bCs/>
          <w:sz w:val="24"/>
          <w:szCs w:val="24"/>
        </w:rPr>
        <w:t>Supreme Court's Verdict Shapes Industry Landscape: Mining Lease Saga</w:t>
      </w:r>
    </w:p>
    <w:p w14:paraId="2B522FB6" w14:textId="5882A5A2" w:rsidR="004E4293" w:rsidRPr="0018077C" w:rsidRDefault="004E4293" w:rsidP="0018077C">
      <w:pPr>
        <w:jc w:val="both"/>
        <w:rPr>
          <w:rFonts w:ascii="Times New Roman" w:hAnsi="Times New Roman" w:cs="Times New Roman"/>
          <w:sz w:val="24"/>
          <w:szCs w:val="24"/>
        </w:rPr>
      </w:pPr>
      <w:r w:rsidRPr="0018077C">
        <w:rPr>
          <w:rFonts w:ascii="Times New Roman" w:hAnsi="Times New Roman" w:cs="Times New Roman"/>
          <w:b/>
          <w:bCs/>
          <w:sz w:val="24"/>
          <w:szCs w:val="24"/>
        </w:rPr>
        <w:t>Case Title:</w:t>
      </w:r>
      <w:r w:rsidR="001C3E0F" w:rsidRPr="0018077C">
        <w:rPr>
          <w:rFonts w:ascii="Times New Roman" w:hAnsi="Times New Roman" w:cs="Times New Roman"/>
          <w:b/>
          <w:bCs/>
          <w:sz w:val="24"/>
          <w:szCs w:val="24"/>
        </w:rPr>
        <w:t xml:space="preserve"> </w:t>
      </w:r>
      <w:r w:rsidR="001C3E0F" w:rsidRPr="0018077C">
        <w:rPr>
          <w:rFonts w:ascii="Times New Roman" w:hAnsi="Times New Roman" w:cs="Times New Roman"/>
          <w:sz w:val="24"/>
          <w:szCs w:val="24"/>
        </w:rPr>
        <w:t>C</w:t>
      </w:r>
      <w:r w:rsidR="00C50909">
        <w:rPr>
          <w:rFonts w:ascii="Times New Roman" w:hAnsi="Times New Roman" w:cs="Times New Roman"/>
          <w:sz w:val="24"/>
          <w:szCs w:val="24"/>
        </w:rPr>
        <w:t>hief</w:t>
      </w:r>
      <w:r w:rsidR="001C3E0F" w:rsidRPr="0018077C">
        <w:rPr>
          <w:rFonts w:ascii="Times New Roman" w:hAnsi="Times New Roman" w:cs="Times New Roman"/>
          <w:sz w:val="24"/>
          <w:szCs w:val="24"/>
        </w:rPr>
        <w:t xml:space="preserve"> S</w:t>
      </w:r>
      <w:r w:rsidR="00C50909">
        <w:rPr>
          <w:rFonts w:ascii="Times New Roman" w:hAnsi="Times New Roman" w:cs="Times New Roman"/>
          <w:sz w:val="24"/>
          <w:szCs w:val="24"/>
        </w:rPr>
        <w:t>ecretary</w:t>
      </w:r>
      <w:r w:rsidR="001C3E0F" w:rsidRPr="0018077C">
        <w:rPr>
          <w:rFonts w:ascii="Times New Roman" w:hAnsi="Times New Roman" w:cs="Times New Roman"/>
          <w:sz w:val="24"/>
          <w:szCs w:val="24"/>
        </w:rPr>
        <w:t xml:space="preserve"> G</w:t>
      </w:r>
      <w:r w:rsidR="00C50909">
        <w:rPr>
          <w:rFonts w:ascii="Times New Roman" w:hAnsi="Times New Roman" w:cs="Times New Roman"/>
          <w:sz w:val="24"/>
          <w:szCs w:val="24"/>
        </w:rPr>
        <w:t>overnment</w:t>
      </w:r>
      <w:r w:rsidR="001C3E0F" w:rsidRPr="0018077C">
        <w:rPr>
          <w:rFonts w:ascii="Times New Roman" w:hAnsi="Times New Roman" w:cs="Times New Roman"/>
          <w:sz w:val="24"/>
          <w:szCs w:val="24"/>
        </w:rPr>
        <w:t xml:space="preserve"> </w:t>
      </w:r>
      <w:r w:rsidR="00C50909">
        <w:rPr>
          <w:rFonts w:ascii="Times New Roman" w:hAnsi="Times New Roman" w:cs="Times New Roman"/>
          <w:sz w:val="24"/>
          <w:szCs w:val="24"/>
        </w:rPr>
        <w:t>of</w:t>
      </w:r>
      <w:r w:rsidR="001C3E0F" w:rsidRPr="0018077C">
        <w:rPr>
          <w:rFonts w:ascii="Times New Roman" w:hAnsi="Times New Roman" w:cs="Times New Roman"/>
          <w:sz w:val="24"/>
          <w:szCs w:val="24"/>
        </w:rPr>
        <w:t xml:space="preserve"> O</w:t>
      </w:r>
      <w:r w:rsidR="00C50909">
        <w:rPr>
          <w:rFonts w:ascii="Times New Roman" w:hAnsi="Times New Roman" w:cs="Times New Roman"/>
          <w:sz w:val="24"/>
          <w:szCs w:val="24"/>
        </w:rPr>
        <w:t>disha</w:t>
      </w:r>
      <w:r w:rsidR="001C3E0F" w:rsidRPr="0018077C">
        <w:rPr>
          <w:rFonts w:ascii="Times New Roman" w:hAnsi="Times New Roman" w:cs="Times New Roman"/>
          <w:sz w:val="24"/>
          <w:szCs w:val="24"/>
        </w:rPr>
        <w:t xml:space="preserve"> </w:t>
      </w:r>
      <w:r w:rsidR="00C50909">
        <w:rPr>
          <w:rFonts w:ascii="Times New Roman" w:hAnsi="Times New Roman" w:cs="Times New Roman"/>
          <w:sz w:val="24"/>
          <w:szCs w:val="24"/>
        </w:rPr>
        <w:t>vs</w:t>
      </w:r>
      <w:r w:rsidR="001C3E0F" w:rsidRPr="0018077C">
        <w:rPr>
          <w:rFonts w:ascii="Times New Roman" w:hAnsi="Times New Roman" w:cs="Times New Roman"/>
          <w:sz w:val="24"/>
          <w:szCs w:val="24"/>
        </w:rPr>
        <w:t>. B</w:t>
      </w:r>
      <w:r w:rsidR="00C50909">
        <w:rPr>
          <w:rFonts w:ascii="Times New Roman" w:hAnsi="Times New Roman" w:cs="Times New Roman"/>
          <w:sz w:val="24"/>
          <w:szCs w:val="24"/>
        </w:rPr>
        <w:t>harat</w:t>
      </w:r>
      <w:r w:rsidR="001C3E0F" w:rsidRPr="0018077C">
        <w:rPr>
          <w:rFonts w:ascii="Times New Roman" w:hAnsi="Times New Roman" w:cs="Times New Roman"/>
          <w:sz w:val="24"/>
          <w:szCs w:val="24"/>
        </w:rPr>
        <w:t xml:space="preserve"> P</w:t>
      </w:r>
      <w:r w:rsidR="00C50909">
        <w:rPr>
          <w:rFonts w:ascii="Times New Roman" w:hAnsi="Times New Roman" w:cs="Times New Roman"/>
          <w:sz w:val="24"/>
          <w:szCs w:val="24"/>
        </w:rPr>
        <w:t>rocess</w:t>
      </w:r>
      <w:r w:rsidR="001C3E0F" w:rsidRPr="0018077C">
        <w:rPr>
          <w:rFonts w:ascii="Times New Roman" w:hAnsi="Times New Roman" w:cs="Times New Roman"/>
          <w:sz w:val="24"/>
          <w:szCs w:val="24"/>
        </w:rPr>
        <w:t xml:space="preserve"> &amp; M</w:t>
      </w:r>
      <w:r w:rsidR="00C50909">
        <w:rPr>
          <w:rFonts w:ascii="Times New Roman" w:hAnsi="Times New Roman" w:cs="Times New Roman"/>
          <w:sz w:val="24"/>
          <w:szCs w:val="24"/>
        </w:rPr>
        <w:t>echanical</w:t>
      </w:r>
      <w:r w:rsidR="001C3E0F" w:rsidRPr="0018077C">
        <w:rPr>
          <w:rFonts w:ascii="Times New Roman" w:hAnsi="Times New Roman" w:cs="Times New Roman"/>
          <w:sz w:val="24"/>
          <w:szCs w:val="24"/>
        </w:rPr>
        <w:t xml:space="preserve"> E</w:t>
      </w:r>
      <w:r w:rsidR="00C50909">
        <w:rPr>
          <w:rFonts w:ascii="Times New Roman" w:hAnsi="Times New Roman" w:cs="Times New Roman"/>
          <w:sz w:val="24"/>
          <w:szCs w:val="24"/>
        </w:rPr>
        <w:t>ngineers</w:t>
      </w:r>
      <w:r w:rsidR="001C3E0F" w:rsidRPr="0018077C">
        <w:rPr>
          <w:rFonts w:ascii="Times New Roman" w:hAnsi="Times New Roman" w:cs="Times New Roman"/>
          <w:sz w:val="24"/>
          <w:szCs w:val="24"/>
        </w:rPr>
        <w:t xml:space="preserve"> L</w:t>
      </w:r>
      <w:r w:rsidR="00C50909">
        <w:rPr>
          <w:rFonts w:ascii="Times New Roman" w:hAnsi="Times New Roman" w:cs="Times New Roman"/>
          <w:sz w:val="24"/>
          <w:szCs w:val="24"/>
        </w:rPr>
        <w:t>imited</w:t>
      </w:r>
      <w:r w:rsidR="001C3E0F" w:rsidRPr="0018077C">
        <w:rPr>
          <w:rFonts w:ascii="Times New Roman" w:hAnsi="Times New Roman" w:cs="Times New Roman"/>
          <w:sz w:val="24"/>
          <w:szCs w:val="24"/>
        </w:rPr>
        <w:t xml:space="preserve"> (I</w:t>
      </w:r>
      <w:r w:rsidR="00C50909">
        <w:rPr>
          <w:rFonts w:ascii="Times New Roman" w:hAnsi="Times New Roman" w:cs="Times New Roman"/>
          <w:sz w:val="24"/>
          <w:szCs w:val="24"/>
        </w:rPr>
        <w:t>n</w:t>
      </w:r>
      <w:r w:rsidR="001C3E0F" w:rsidRPr="0018077C">
        <w:rPr>
          <w:rFonts w:ascii="Times New Roman" w:hAnsi="Times New Roman" w:cs="Times New Roman"/>
          <w:sz w:val="24"/>
          <w:szCs w:val="24"/>
        </w:rPr>
        <w:t xml:space="preserve"> L</w:t>
      </w:r>
      <w:r w:rsidR="00C50909">
        <w:rPr>
          <w:rFonts w:ascii="Times New Roman" w:hAnsi="Times New Roman" w:cs="Times New Roman"/>
          <w:sz w:val="24"/>
          <w:szCs w:val="24"/>
        </w:rPr>
        <w:t>iquidation</w:t>
      </w:r>
      <w:r w:rsidR="001C3E0F" w:rsidRPr="0018077C">
        <w:rPr>
          <w:rFonts w:ascii="Times New Roman" w:hAnsi="Times New Roman" w:cs="Times New Roman"/>
          <w:sz w:val="24"/>
          <w:szCs w:val="24"/>
        </w:rPr>
        <w:t>) A</w:t>
      </w:r>
      <w:r w:rsidR="00C50909">
        <w:rPr>
          <w:rFonts w:ascii="Times New Roman" w:hAnsi="Times New Roman" w:cs="Times New Roman"/>
          <w:sz w:val="24"/>
          <w:szCs w:val="24"/>
        </w:rPr>
        <w:t>nd</w:t>
      </w:r>
      <w:r w:rsidR="001C3E0F" w:rsidRPr="0018077C">
        <w:rPr>
          <w:rFonts w:ascii="Times New Roman" w:hAnsi="Times New Roman" w:cs="Times New Roman"/>
          <w:sz w:val="24"/>
          <w:szCs w:val="24"/>
        </w:rPr>
        <w:t xml:space="preserve"> O</w:t>
      </w:r>
      <w:r w:rsidR="00C50909">
        <w:rPr>
          <w:rFonts w:ascii="Times New Roman" w:hAnsi="Times New Roman" w:cs="Times New Roman"/>
          <w:sz w:val="24"/>
          <w:szCs w:val="24"/>
        </w:rPr>
        <w:t>thers</w:t>
      </w:r>
    </w:p>
    <w:p w14:paraId="75DE4E8E" w14:textId="77FF49B8" w:rsidR="004E4293" w:rsidRPr="0018077C" w:rsidRDefault="004E4293" w:rsidP="0018077C">
      <w:pPr>
        <w:jc w:val="both"/>
        <w:rPr>
          <w:rFonts w:ascii="Times New Roman" w:hAnsi="Times New Roman" w:cs="Times New Roman"/>
          <w:sz w:val="24"/>
          <w:szCs w:val="24"/>
        </w:rPr>
      </w:pPr>
      <w:r w:rsidRPr="0018077C">
        <w:rPr>
          <w:rFonts w:ascii="Times New Roman" w:hAnsi="Times New Roman" w:cs="Times New Roman"/>
          <w:b/>
          <w:bCs/>
          <w:sz w:val="24"/>
          <w:szCs w:val="24"/>
        </w:rPr>
        <w:t>Case No.:</w:t>
      </w:r>
      <w:r w:rsidR="001C3E0F" w:rsidRPr="0018077C">
        <w:rPr>
          <w:rFonts w:ascii="Times New Roman" w:hAnsi="Times New Roman" w:cs="Times New Roman"/>
          <w:b/>
          <w:bCs/>
          <w:sz w:val="24"/>
          <w:szCs w:val="24"/>
        </w:rPr>
        <w:t xml:space="preserve"> </w:t>
      </w:r>
      <w:r w:rsidR="001C3E0F" w:rsidRPr="0018077C">
        <w:rPr>
          <w:rFonts w:ascii="Times New Roman" w:hAnsi="Times New Roman" w:cs="Times New Roman"/>
          <w:sz w:val="24"/>
          <w:szCs w:val="24"/>
        </w:rPr>
        <w:t>Civil Appeals a/o. SLP (C) Nos.7315-7316 of 2021</w:t>
      </w:r>
    </w:p>
    <w:p w14:paraId="0AE07B79" w14:textId="7D8ABE75" w:rsidR="004E4293" w:rsidRPr="0018077C" w:rsidRDefault="004E4293" w:rsidP="0018077C">
      <w:pPr>
        <w:jc w:val="both"/>
        <w:rPr>
          <w:rFonts w:ascii="Times New Roman" w:hAnsi="Times New Roman" w:cs="Times New Roman"/>
          <w:sz w:val="24"/>
          <w:szCs w:val="24"/>
        </w:rPr>
      </w:pPr>
      <w:r w:rsidRPr="0018077C">
        <w:rPr>
          <w:rFonts w:ascii="Times New Roman" w:hAnsi="Times New Roman" w:cs="Times New Roman"/>
          <w:b/>
          <w:bCs/>
          <w:sz w:val="24"/>
          <w:szCs w:val="24"/>
        </w:rPr>
        <w:t>Dated on:</w:t>
      </w:r>
      <w:r w:rsidR="001C3E0F" w:rsidRPr="0018077C">
        <w:rPr>
          <w:rFonts w:ascii="Times New Roman" w:hAnsi="Times New Roman" w:cs="Times New Roman"/>
          <w:b/>
          <w:bCs/>
          <w:sz w:val="24"/>
          <w:szCs w:val="24"/>
        </w:rPr>
        <w:t xml:space="preserve"> </w:t>
      </w:r>
      <w:r w:rsidR="001C3E0F" w:rsidRPr="0018077C">
        <w:rPr>
          <w:rFonts w:ascii="Times New Roman" w:hAnsi="Times New Roman" w:cs="Times New Roman"/>
          <w:sz w:val="24"/>
          <w:szCs w:val="24"/>
        </w:rPr>
        <w:t>MAY 17, 2024</w:t>
      </w:r>
    </w:p>
    <w:p w14:paraId="1626714C" w14:textId="125758F2" w:rsidR="004E4293" w:rsidRPr="0018077C" w:rsidRDefault="004E4293" w:rsidP="0018077C">
      <w:pPr>
        <w:jc w:val="both"/>
        <w:rPr>
          <w:rFonts w:ascii="Times New Roman" w:hAnsi="Times New Roman" w:cs="Times New Roman"/>
          <w:sz w:val="24"/>
          <w:szCs w:val="24"/>
        </w:rPr>
      </w:pPr>
      <w:r w:rsidRPr="0018077C">
        <w:rPr>
          <w:rFonts w:ascii="Times New Roman" w:hAnsi="Times New Roman" w:cs="Times New Roman"/>
          <w:b/>
          <w:bCs/>
          <w:sz w:val="24"/>
          <w:szCs w:val="24"/>
        </w:rPr>
        <w:t>Coram:</w:t>
      </w:r>
      <w:r w:rsidR="001C3E0F" w:rsidRPr="0018077C">
        <w:rPr>
          <w:rFonts w:ascii="Times New Roman" w:hAnsi="Times New Roman" w:cs="Times New Roman"/>
          <w:b/>
          <w:bCs/>
          <w:sz w:val="24"/>
          <w:szCs w:val="24"/>
        </w:rPr>
        <w:t xml:space="preserve"> </w:t>
      </w:r>
      <w:r w:rsidR="001C3E0F" w:rsidRPr="0018077C">
        <w:rPr>
          <w:rFonts w:ascii="Times New Roman" w:hAnsi="Times New Roman" w:cs="Times New Roman"/>
          <w:sz w:val="24"/>
          <w:szCs w:val="24"/>
        </w:rPr>
        <w:t>J. SANJIV KHANNA, J. DIPANKAR DATTA</w:t>
      </w:r>
    </w:p>
    <w:p w14:paraId="3761E296" w14:textId="34EE0C14" w:rsidR="004E4293" w:rsidRPr="0018077C" w:rsidRDefault="004E4293" w:rsidP="0018077C">
      <w:pPr>
        <w:jc w:val="both"/>
        <w:rPr>
          <w:rFonts w:ascii="Times New Roman" w:hAnsi="Times New Roman" w:cs="Times New Roman"/>
          <w:sz w:val="24"/>
          <w:szCs w:val="24"/>
        </w:rPr>
      </w:pPr>
      <w:r w:rsidRPr="0018077C">
        <w:rPr>
          <w:rFonts w:ascii="Times New Roman" w:hAnsi="Times New Roman" w:cs="Times New Roman"/>
          <w:b/>
          <w:bCs/>
          <w:sz w:val="24"/>
          <w:szCs w:val="24"/>
        </w:rPr>
        <w:t>Facts</w:t>
      </w:r>
      <w:r w:rsidRPr="0018077C">
        <w:rPr>
          <w:rFonts w:ascii="Times New Roman" w:hAnsi="Times New Roman" w:cs="Times New Roman"/>
          <w:sz w:val="24"/>
          <w:szCs w:val="24"/>
        </w:rPr>
        <w:t>:</w:t>
      </w:r>
    </w:p>
    <w:p w14:paraId="415D2780" w14:textId="39963B17" w:rsidR="004E4293" w:rsidRPr="0018077C" w:rsidRDefault="004E4293" w:rsidP="0018077C">
      <w:pPr>
        <w:jc w:val="both"/>
        <w:rPr>
          <w:rFonts w:ascii="Times New Roman" w:hAnsi="Times New Roman" w:cs="Times New Roman"/>
          <w:sz w:val="24"/>
          <w:szCs w:val="24"/>
        </w:rPr>
      </w:pPr>
      <w:r w:rsidRPr="0018077C">
        <w:rPr>
          <w:rFonts w:ascii="Times New Roman" w:hAnsi="Times New Roman" w:cs="Times New Roman"/>
          <w:sz w:val="24"/>
          <w:szCs w:val="24"/>
        </w:rPr>
        <w:t xml:space="preserve">In this case, the Government of Odisha is appealing a decision involving the renewal of mining leases for three ore blocks. The dispute </w:t>
      </w:r>
      <w:r w:rsidR="001C3E0F" w:rsidRPr="0018077C">
        <w:rPr>
          <w:rFonts w:ascii="Times New Roman" w:hAnsi="Times New Roman" w:cs="Times New Roman"/>
          <w:sz w:val="24"/>
          <w:szCs w:val="24"/>
        </w:rPr>
        <w:t>centres</w:t>
      </w:r>
      <w:r w:rsidRPr="0018077C">
        <w:rPr>
          <w:rFonts w:ascii="Times New Roman" w:hAnsi="Times New Roman" w:cs="Times New Roman"/>
          <w:sz w:val="24"/>
          <w:szCs w:val="24"/>
        </w:rPr>
        <w:t xml:space="preserve"> around Bharat Process &amp; Mechanical Engineers Limited (BPMEL), a company in liquidation, and its subsidiary, Odisha Mineral Development Company Ltd (OMDC), which managed the mining operations. The leases were originally granted to Bird and Company, which was nationalized in 1980, transferring ownership to the Central Government and later to BPMEL. </w:t>
      </w:r>
      <w:r w:rsidR="00B73206">
        <w:rPr>
          <w:rFonts w:ascii="Times New Roman" w:hAnsi="Times New Roman" w:cs="Times New Roman"/>
          <w:sz w:val="24"/>
          <w:szCs w:val="24"/>
        </w:rPr>
        <w:t xml:space="preserve">However, </w:t>
      </w:r>
      <w:r w:rsidRPr="0018077C">
        <w:rPr>
          <w:rFonts w:ascii="Times New Roman" w:hAnsi="Times New Roman" w:cs="Times New Roman"/>
          <w:sz w:val="24"/>
          <w:szCs w:val="24"/>
        </w:rPr>
        <w:t xml:space="preserve">BPMEL became financially troubled and was ordered to be wound up in 2004. UCO Bank, a creditor, assigned its recovery rights to TGP Equity Management, leading to legal complexities. The High Court had directed the formation of a committee to decide on the lease renewals, involving the Central and Odisha governments, OMDC, and hearing TGP. </w:t>
      </w:r>
      <w:r w:rsidR="00B73206">
        <w:rPr>
          <w:rFonts w:ascii="Times New Roman" w:hAnsi="Times New Roman" w:cs="Times New Roman"/>
          <w:sz w:val="24"/>
          <w:szCs w:val="24"/>
        </w:rPr>
        <w:t>Now, t</w:t>
      </w:r>
      <w:r w:rsidRPr="0018077C">
        <w:rPr>
          <w:rFonts w:ascii="Times New Roman" w:hAnsi="Times New Roman" w:cs="Times New Roman"/>
          <w:sz w:val="24"/>
          <w:szCs w:val="24"/>
        </w:rPr>
        <w:t>his appeal challenges various court decisions about the lease renewals and the legal standing of TGP.</w:t>
      </w:r>
    </w:p>
    <w:p w14:paraId="3EDF7938" w14:textId="3A5C27AB" w:rsidR="004E4293" w:rsidRPr="0018077C" w:rsidRDefault="004E4293" w:rsidP="0018077C">
      <w:pPr>
        <w:jc w:val="both"/>
        <w:rPr>
          <w:rFonts w:ascii="Times New Roman" w:hAnsi="Times New Roman" w:cs="Times New Roman"/>
          <w:b/>
          <w:bCs/>
          <w:sz w:val="24"/>
          <w:szCs w:val="24"/>
        </w:rPr>
      </w:pPr>
      <w:r w:rsidRPr="0018077C">
        <w:rPr>
          <w:rFonts w:ascii="Times New Roman" w:hAnsi="Times New Roman" w:cs="Times New Roman"/>
          <w:b/>
          <w:bCs/>
          <w:sz w:val="24"/>
          <w:szCs w:val="24"/>
        </w:rPr>
        <w:t xml:space="preserve">Issues </w:t>
      </w:r>
    </w:p>
    <w:p w14:paraId="1F2826FE" w14:textId="22079631" w:rsidR="004E4293" w:rsidRPr="0018077C" w:rsidRDefault="004E4293" w:rsidP="0018077C">
      <w:pPr>
        <w:pStyle w:val="ListParagraph"/>
        <w:numPr>
          <w:ilvl w:val="0"/>
          <w:numId w:val="1"/>
        </w:numPr>
        <w:jc w:val="both"/>
        <w:rPr>
          <w:rFonts w:ascii="Times New Roman" w:hAnsi="Times New Roman" w:cs="Times New Roman"/>
          <w:sz w:val="24"/>
          <w:szCs w:val="24"/>
        </w:rPr>
      </w:pPr>
      <w:r w:rsidRPr="0018077C">
        <w:rPr>
          <w:rFonts w:ascii="Times New Roman" w:hAnsi="Times New Roman" w:cs="Times New Roman"/>
          <w:sz w:val="24"/>
          <w:szCs w:val="24"/>
        </w:rPr>
        <w:t>Whether the High Court at Calcutta was justified in directing the formation of a High-Powered Committee comprising no more than three members, representing the Union of India, State of Odisha, and OMDC.</w:t>
      </w:r>
    </w:p>
    <w:p w14:paraId="268BFC47" w14:textId="20D2421A" w:rsidR="004E4293" w:rsidRPr="0018077C" w:rsidRDefault="004E4293" w:rsidP="0018077C">
      <w:pPr>
        <w:jc w:val="both"/>
        <w:rPr>
          <w:rFonts w:ascii="Times New Roman" w:hAnsi="Times New Roman" w:cs="Times New Roman"/>
          <w:b/>
          <w:bCs/>
          <w:sz w:val="24"/>
          <w:szCs w:val="24"/>
        </w:rPr>
      </w:pPr>
      <w:r w:rsidRPr="0018077C">
        <w:rPr>
          <w:rFonts w:ascii="Times New Roman" w:hAnsi="Times New Roman" w:cs="Times New Roman"/>
          <w:b/>
          <w:bCs/>
          <w:sz w:val="24"/>
          <w:szCs w:val="24"/>
        </w:rPr>
        <w:t>Legal Provisions:</w:t>
      </w:r>
    </w:p>
    <w:p w14:paraId="26FE193E" w14:textId="2C7137A0" w:rsidR="001825B0" w:rsidRPr="0018077C" w:rsidRDefault="004D2588" w:rsidP="0018077C">
      <w:pPr>
        <w:jc w:val="both"/>
        <w:rPr>
          <w:rFonts w:ascii="Times New Roman" w:hAnsi="Times New Roman" w:cs="Times New Roman"/>
          <w:sz w:val="24"/>
          <w:szCs w:val="24"/>
        </w:rPr>
      </w:pPr>
      <w:r w:rsidRPr="0018077C">
        <w:rPr>
          <w:rFonts w:ascii="Times New Roman" w:hAnsi="Times New Roman" w:cs="Times New Roman"/>
          <w:b/>
          <w:bCs/>
          <w:sz w:val="24"/>
          <w:szCs w:val="24"/>
        </w:rPr>
        <w:t>Rule 72 of the Mineral (Other than Atomic and Hydrocarbon Energy) Concessional Rules, 2016</w:t>
      </w:r>
      <w:r w:rsidRPr="0018077C">
        <w:rPr>
          <w:rFonts w:ascii="Times New Roman" w:hAnsi="Times New Roman" w:cs="Times New Roman"/>
          <w:sz w:val="24"/>
          <w:szCs w:val="24"/>
        </w:rPr>
        <w:t>: It states that before January 12, 2015, all mining leases for minerals given to a government company or corporation are automatically considered to have been granted for a duration of fifty years.</w:t>
      </w:r>
    </w:p>
    <w:p w14:paraId="6DDD4B05" w14:textId="2FAC34E5" w:rsidR="004D2588" w:rsidRPr="0018077C" w:rsidRDefault="004D2588" w:rsidP="0018077C">
      <w:pPr>
        <w:jc w:val="both"/>
        <w:rPr>
          <w:rFonts w:ascii="Times New Roman" w:hAnsi="Times New Roman" w:cs="Times New Roman"/>
          <w:sz w:val="24"/>
          <w:szCs w:val="24"/>
        </w:rPr>
      </w:pPr>
      <w:r w:rsidRPr="0018077C">
        <w:rPr>
          <w:rFonts w:ascii="Times New Roman" w:hAnsi="Times New Roman" w:cs="Times New Roman"/>
          <w:b/>
          <w:bCs/>
          <w:sz w:val="24"/>
          <w:szCs w:val="24"/>
        </w:rPr>
        <w:t>Section 4A</w:t>
      </w:r>
      <w:r w:rsidR="001C3E0F" w:rsidRPr="0018077C">
        <w:rPr>
          <w:rFonts w:ascii="Times New Roman" w:hAnsi="Times New Roman" w:cs="Times New Roman"/>
          <w:b/>
          <w:bCs/>
          <w:sz w:val="24"/>
          <w:szCs w:val="24"/>
        </w:rPr>
        <w:t xml:space="preserve"> </w:t>
      </w:r>
      <w:r w:rsidRPr="0018077C">
        <w:rPr>
          <w:rFonts w:ascii="Times New Roman" w:hAnsi="Times New Roman" w:cs="Times New Roman"/>
          <w:b/>
          <w:bCs/>
          <w:sz w:val="24"/>
          <w:szCs w:val="24"/>
        </w:rPr>
        <w:t>(4) of the Mines and Minerals (Development and Regulation), Act 1957</w:t>
      </w:r>
      <w:r w:rsidRPr="0018077C">
        <w:rPr>
          <w:rFonts w:ascii="Times New Roman" w:hAnsi="Times New Roman" w:cs="Times New Roman"/>
          <w:sz w:val="24"/>
          <w:szCs w:val="24"/>
        </w:rPr>
        <w:t>: It states that if the holder of a mining lease doesn't start producing and dispatching minerals within two years of receiving the lease, or if they stop production and dispatch for two years after starting, the lease will end two years from when it was granted or from when production stopped.</w:t>
      </w:r>
    </w:p>
    <w:p w14:paraId="6B9D29B4" w14:textId="466D459E" w:rsidR="004D2588" w:rsidRPr="0018077C" w:rsidRDefault="004D2588" w:rsidP="0018077C">
      <w:pPr>
        <w:jc w:val="both"/>
        <w:rPr>
          <w:rFonts w:ascii="Times New Roman" w:hAnsi="Times New Roman" w:cs="Times New Roman"/>
          <w:sz w:val="24"/>
          <w:szCs w:val="24"/>
        </w:rPr>
      </w:pPr>
      <w:r w:rsidRPr="0018077C">
        <w:rPr>
          <w:rFonts w:ascii="Times New Roman" w:hAnsi="Times New Roman" w:cs="Times New Roman"/>
          <w:b/>
          <w:bCs/>
          <w:sz w:val="24"/>
          <w:szCs w:val="24"/>
        </w:rPr>
        <w:t>Section 446(2)(d) of the Companies Act, 1956</w:t>
      </w:r>
      <w:r w:rsidRPr="0018077C">
        <w:rPr>
          <w:rFonts w:ascii="Times New Roman" w:hAnsi="Times New Roman" w:cs="Times New Roman"/>
          <w:sz w:val="24"/>
          <w:szCs w:val="24"/>
        </w:rPr>
        <w:t>:</w:t>
      </w:r>
      <w:r w:rsidR="001C3E0F" w:rsidRPr="0018077C">
        <w:rPr>
          <w:rFonts w:ascii="Times New Roman" w:hAnsi="Times New Roman" w:cs="Times New Roman"/>
          <w:sz w:val="24"/>
          <w:szCs w:val="24"/>
        </w:rPr>
        <w:t xml:space="preserve"> It gives the company court the power to entertain or dispose of any suit or proceeding against a company, or any claim made against it.</w:t>
      </w:r>
    </w:p>
    <w:p w14:paraId="4DF2869F" w14:textId="22427B3E" w:rsidR="001C3E0F" w:rsidRPr="0018077C" w:rsidRDefault="001C3E0F" w:rsidP="0018077C">
      <w:pPr>
        <w:jc w:val="both"/>
        <w:rPr>
          <w:rFonts w:ascii="Times New Roman" w:hAnsi="Times New Roman" w:cs="Times New Roman"/>
          <w:sz w:val="24"/>
          <w:szCs w:val="24"/>
        </w:rPr>
      </w:pPr>
      <w:r w:rsidRPr="0018077C">
        <w:rPr>
          <w:rFonts w:ascii="Times New Roman" w:hAnsi="Times New Roman" w:cs="Times New Roman"/>
          <w:b/>
          <w:bCs/>
          <w:sz w:val="24"/>
          <w:szCs w:val="24"/>
        </w:rPr>
        <w:t>Section 457(1)(b) of the Companies Act, 1956</w:t>
      </w:r>
      <w:r w:rsidRPr="0018077C">
        <w:rPr>
          <w:rFonts w:ascii="Times New Roman" w:hAnsi="Times New Roman" w:cs="Times New Roman"/>
          <w:sz w:val="24"/>
          <w:szCs w:val="24"/>
        </w:rPr>
        <w:t>: Under this Section the company is allowed to continue its operations to the extent required for the purpose of winding up the company in a manner that is beneficial.</w:t>
      </w:r>
    </w:p>
    <w:p w14:paraId="5783C7FD" w14:textId="4B7F5643" w:rsidR="004D2588" w:rsidRPr="0018077C" w:rsidRDefault="004D2588" w:rsidP="0018077C">
      <w:pPr>
        <w:jc w:val="both"/>
        <w:rPr>
          <w:rFonts w:ascii="Times New Roman" w:hAnsi="Times New Roman" w:cs="Times New Roman"/>
          <w:sz w:val="24"/>
          <w:szCs w:val="24"/>
        </w:rPr>
      </w:pPr>
      <w:r w:rsidRPr="0018077C">
        <w:rPr>
          <w:rFonts w:ascii="Times New Roman" w:hAnsi="Times New Roman" w:cs="Times New Roman"/>
          <w:b/>
          <w:bCs/>
          <w:sz w:val="24"/>
          <w:szCs w:val="24"/>
        </w:rPr>
        <w:t>Section 201 of the Indian Contract Act, 1872</w:t>
      </w:r>
      <w:r w:rsidRPr="0018077C">
        <w:rPr>
          <w:rFonts w:ascii="Times New Roman" w:hAnsi="Times New Roman" w:cs="Times New Roman"/>
          <w:sz w:val="24"/>
          <w:szCs w:val="24"/>
        </w:rPr>
        <w:t>:</w:t>
      </w:r>
      <w:r w:rsidR="001C3E0F" w:rsidRPr="0018077C">
        <w:rPr>
          <w:rFonts w:ascii="Times New Roman" w:hAnsi="Times New Roman" w:cs="Times New Roman"/>
          <w:sz w:val="24"/>
          <w:szCs w:val="24"/>
        </w:rPr>
        <w:t xml:space="preserve"> Termination of agency.</w:t>
      </w:r>
    </w:p>
    <w:p w14:paraId="29CCFD67" w14:textId="47C07F3C" w:rsidR="004E4293" w:rsidRPr="0018077C" w:rsidRDefault="004E4293" w:rsidP="0018077C">
      <w:pPr>
        <w:jc w:val="both"/>
        <w:rPr>
          <w:rFonts w:ascii="Times New Roman" w:hAnsi="Times New Roman" w:cs="Times New Roman"/>
          <w:b/>
          <w:bCs/>
          <w:sz w:val="24"/>
          <w:szCs w:val="24"/>
        </w:rPr>
      </w:pPr>
      <w:r w:rsidRPr="0018077C">
        <w:rPr>
          <w:rFonts w:ascii="Times New Roman" w:hAnsi="Times New Roman" w:cs="Times New Roman"/>
          <w:b/>
          <w:bCs/>
          <w:sz w:val="24"/>
          <w:szCs w:val="24"/>
        </w:rPr>
        <w:lastRenderedPageBreak/>
        <w:t>Contentions of the Appellant:</w:t>
      </w:r>
    </w:p>
    <w:p w14:paraId="2EAFE912" w14:textId="4AC2FB23" w:rsidR="004E4293" w:rsidRPr="0018077C" w:rsidRDefault="00334329" w:rsidP="0018077C">
      <w:pPr>
        <w:jc w:val="both"/>
        <w:rPr>
          <w:rFonts w:ascii="Times New Roman" w:hAnsi="Times New Roman" w:cs="Times New Roman"/>
          <w:sz w:val="24"/>
          <w:szCs w:val="24"/>
        </w:rPr>
      </w:pPr>
      <w:r w:rsidRPr="0018077C">
        <w:rPr>
          <w:rFonts w:ascii="Times New Roman" w:hAnsi="Times New Roman" w:cs="Times New Roman"/>
          <w:sz w:val="24"/>
          <w:szCs w:val="24"/>
        </w:rPr>
        <w:t>The appellant, the Government of Odisha, contends that the High Court's decision to form a committee for lease renewals involving the Central Government, the Odisha Government, and other stakeholders, including TGP Equity Management, is erroneous. They argue that the lease renewal decisions should be within the jurisdiction of the state government alone, without the involvement of other parties. Additionally, the appellant challenges the High Court's rulings regarding the liquidation proceedings of BPMEL and the assignment of recovery rights to TGP, asserting that these matters should be handled differently.</w:t>
      </w:r>
    </w:p>
    <w:p w14:paraId="6757B4B1" w14:textId="7A0F3CDB" w:rsidR="004E4293" w:rsidRPr="0018077C" w:rsidRDefault="004E4293" w:rsidP="0018077C">
      <w:pPr>
        <w:jc w:val="both"/>
        <w:rPr>
          <w:rFonts w:ascii="Times New Roman" w:hAnsi="Times New Roman" w:cs="Times New Roman"/>
          <w:b/>
          <w:bCs/>
          <w:sz w:val="24"/>
          <w:szCs w:val="24"/>
        </w:rPr>
      </w:pPr>
      <w:r w:rsidRPr="0018077C">
        <w:rPr>
          <w:rFonts w:ascii="Times New Roman" w:hAnsi="Times New Roman" w:cs="Times New Roman"/>
          <w:b/>
          <w:bCs/>
          <w:sz w:val="24"/>
          <w:szCs w:val="24"/>
        </w:rPr>
        <w:t>Contentions of the Respondent:</w:t>
      </w:r>
    </w:p>
    <w:p w14:paraId="37687917" w14:textId="3CFB7815" w:rsidR="00F80FDF" w:rsidRPr="0018077C" w:rsidRDefault="00F80FDF" w:rsidP="0018077C">
      <w:pPr>
        <w:jc w:val="both"/>
        <w:rPr>
          <w:rFonts w:ascii="Times New Roman" w:hAnsi="Times New Roman" w:cs="Times New Roman"/>
          <w:sz w:val="24"/>
          <w:szCs w:val="24"/>
        </w:rPr>
      </w:pPr>
      <w:r w:rsidRPr="0018077C">
        <w:rPr>
          <w:rFonts w:ascii="Times New Roman" w:hAnsi="Times New Roman" w:cs="Times New Roman"/>
          <w:sz w:val="24"/>
          <w:szCs w:val="24"/>
        </w:rPr>
        <w:t>Bharat Process &amp; Mechanical Engineers Limited (BPMEL) and others, herein the respondents, contended that the directions given by the High Court regarding the renewal of mining leases were justified, given the history of ownership and management of the leases involving BPMEL and its subsidiary, Odisha Mineral Development Company Ltd (OMDC). Further, they argued that the involvement of all stakeholders, including TGP Equity Management, was necessary for a fair and equitable decision on the lease renewals. Additionally, they raised objections to the delay in the liquidation proceedings of BPMEL and any attempts by the appellant to overturn previous court decisions regarding the lease renewals. However, it can be determined that their contentions focused on upholding the High Court's decisions and ensuring a just resolution considering the complex legal and financial history of the mining leases involved.</w:t>
      </w:r>
    </w:p>
    <w:p w14:paraId="1FFA9765" w14:textId="7A595538" w:rsidR="004E4293" w:rsidRPr="0018077C" w:rsidRDefault="004E4293" w:rsidP="0018077C">
      <w:pPr>
        <w:jc w:val="both"/>
        <w:rPr>
          <w:rFonts w:ascii="Times New Roman" w:hAnsi="Times New Roman" w:cs="Times New Roman"/>
          <w:b/>
          <w:bCs/>
          <w:sz w:val="24"/>
          <w:szCs w:val="24"/>
        </w:rPr>
      </w:pPr>
      <w:r w:rsidRPr="0018077C">
        <w:rPr>
          <w:rFonts w:ascii="Times New Roman" w:hAnsi="Times New Roman" w:cs="Times New Roman"/>
          <w:b/>
          <w:bCs/>
          <w:sz w:val="24"/>
          <w:szCs w:val="24"/>
        </w:rPr>
        <w:t>Court’s Analysis &amp; Judgement:</w:t>
      </w:r>
    </w:p>
    <w:p w14:paraId="498B4A7A" w14:textId="1FD211FA" w:rsidR="001825B0" w:rsidRDefault="001825B0" w:rsidP="0018077C">
      <w:pPr>
        <w:jc w:val="both"/>
        <w:rPr>
          <w:rFonts w:ascii="Times New Roman" w:hAnsi="Times New Roman" w:cs="Times New Roman"/>
          <w:sz w:val="24"/>
          <w:szCs w:val="24"/>
        </w:rPr>
      </w:pPr>
      <w:r w:rsidRPr="0018077C">
        <w:rPr>
          <w:rFonts w:ascii="Times New Roman" w:hAnsi="Times New Roman" w:cs="Times New Roman"/>
          <w:sz w:val="24"/>
          <w:szCs w:val="24"/>
        </w:rPr>
        <w:t>Based on the intricate analysis made by the hon’ble court, it examined the history of mining leases granted to Bird and Company, which were later transferred to Bharat Process &amp; Mechanical Engineers Limited (BPMEL) and its subsidiary, OMDC. BPMEL faced financial difficulties and was ordered to be wound up, leading to legal disputes with creditors like UCO Bank, whose rights were later assigned to TGP Equity Management. Further, the court considered the validity of lease renewals and the involvement of various stakeholders and upheld a decision directing the formation of a committee involving the Central and Odisha governments, OMDC, and TGP to decide on the lease renewals. Moreover, it can be said that the court's judgment emphasized on fair consideration of all parties' interests and adherence to legal procedures in the resolution of the mining lease issues.</w:t>
      </w:r>
    </w:p>
    <w:p w14:paraId="685F3ED7" w14:textId="77777777" w:rsidR="0018077C" w:rsidRPr="009941ED" w:rsidRDefault="0018077C" w:rsidP="0018077C">
      <w:pPr>
        <w:rPr>
          <w:rFonts w:ascii="Times New Roman" w:hAnsi="Times New Roman" w:cs="Times New Roman"/>
          <w:i/>
          <w:iCs/>
          <w:sz w:val="24"/>
          <w:szCs w:val="24"/>
        </w:rPr>
      </w:pPr>
      <w:r w:rsidRPr="009941ED">
        <w:rPr>
          <w:rFonts w:ascii="Times New Roman" w:hAnsi="Times New Roman" w:cs="Times New Roman"/>
          <w:i/>
          <w:iCs/>
          <w:sz w:val="24"/>
          <w:szCs w:val="24"/>
        </w:rPr>
        <w:t>“PRIME LEGAL is a full-service law firm that has won a National Award and has more than 20 years of experience in an array of sectors and practice areas. Prime legal fall into a category of best law firm, best lawyer, best family lawyer, best divorce lawyer, best divorce law firm, best criminal lawyer, best criminal law firm, best consumer lawyer, best civil lawyer.”</w:t>
      </w:r>
    </w:p>
    <w:p w14:paraId="28FAB53E" w14:textId="77777777" w:rsidR="0018077C" w:rsidRPr="009941ED" w:rsidRDefault="0018077C" w:rsidP="0018077C">
      <w:pPr>
        <w:rPr>
          <w:rFonts w:ascii="Times New Roman" w:hAnsi="Times New Roman" w:cs="Times New Roman"/>
          <w:b/>
          <w:bCs/>
          <w:sz w:val="24"/>
          <w:szCs w:val="24"/>
        </w:rPr>
      </w:pPr>
      <w:r w:rsidRPr="009941ED">
        <w:rPr>
          <w:rFonts w:ascii="Times New Roman" w:hAnsi="Times New Roman" w:cs="Times New Roman"/>
          <w:b/>
          <w:bCs/>
          <w:sz w:val="24"/>
          <w:szCs w:val="24"/>
        </w:rPr>
        <w:t>Judgement Reviewed By- Shramana Sengupta</w:t>
      </w:r>
    </w:p>
    <w:p w14:paraId="13F63BC2" w14:textId="77777777" w:rsidR="0018077C" w:rsidRPr="0018077C" w:rsidRDefault="0018077C" w:rsidP="0018077C">
      <w:pPr>
        <w:jc w:val="both"/>
        <w:rPr>
          <w:rFonts w:ascii="Times New Roman" w:hAnsi="Times New Roman" w:cs="Times New Roman"/>
          <w:sz w:val="24"/>
          <w:szCs w:val="24"/>
        </w:rPr>
      </w:pPr>
    </w:p>
    <w:p w14:paraId="0CA40932" w14:textId="77777777" w:rsidR="004E4293" w:rsidRPr="0018077C" w:rsidRDefault="004E4293" w:rsidP="0018077C">
      <w:pPr>
        <w:jc w:val="both"/>
        <w:rPr>
          <w:rFonts w:ascii="Times New Roman" w:hAnsi="Times New Roman" w:cs="Times New Roman"/>
          <w:sz w:val="24"/>
          <w:szCs w:val="24"/>
        </w:rPr>
      </w:pPr>
    </w:p>
    <w:sectPr w:rsidR="004E4293" w:rsidRPr="00180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AA16D0"/>
    <w:multiLevelType w:val="hybridMultilevel"/>
    <w:tmpl w:val="AB7A15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31592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93"/>
    <w:rsid w:val="0018077C"/>
    <w:rsid w:val="001825B0"/>
    <w:rsid w:val="001C3E0F"/>
    <w:rsid w:val="00334329"/>
    <w:rsid w:val="004D2588"/>
    <w:rsid w:val="004E4293"/>
    <w:rsid w:val="007B29FC"/>
    <w:rsid w:val="0083297C"/>
    <w:rsid w:val="009735C0"/>
    <w:rsid w:val="00B73206"/>
    <w:rsid w:val="00C50909"/>
    <w:rsid w:val="00F80F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7471"/>
  <w15:chartTrackingRefBased/>
  <w15:docId w15:val="{200582AF-9738-4947-BD58-91C420C2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OLQ ONLINELEGAL EXPERTS</dc:creator>
  <cp:keywords/>
  <dc:description/>
  <cp:lastModifiedBy>OLQ ONLINELEGAL EXPERTS</cp:lastModifiedBy>
  <cp:revision>4</cp:revision>
  <dcterms:created xsi:type="dcterms:W3CDTF">2024-06-11T05:22:00Z</dcterms:created>
  <dcterms:modified xsi:type="dcterms:W3CDTF">2024-06-11T10:16:00Z</dcterms:modified>
</cp:coreProperties>
</file>