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9B0DC" w14:textId="46277738" w:rsidR="00447365" w:rsidRPr="00AA36E4" w:rsidRDefault="00327E64" w:rsidP="0034213A">
      <w:pPr>
        <w:jc w:val="both"/>
        <w:rPr>
          <w:rFonts w:ascii="Times New Roman" w:hAnsi="Times New Roman" w:cs="Times New Roman"/>
          <w:b/>
          <w:bCs/>
          <w:sz w:val="24"/>
          <w:szCs w:val="24"/>
        </w:rPr>
      </w:pPr>
      <w:r w:rsidRPr="00AA36E4">
        <w:rPr>
          <w:rFonts w:ascii="Times New Roman" w:hAnsi="Times New Roman" w:cs="Times New Roman"/>
          <w:b/>
          <w:bCs/>
          <w:sz w:val="24"/>
          <w:szCs w:val="24"/>
        </w:rPr>
        <w:t xml:space="preserve">If the liability is paid for on the grounds of patent illegality then it warrants no interference in the </w:t>
      </w:r>
      <w:proofErr w:type="gramStart"/>
      <w:r w:rsidRPr="00AA36E4">
        <w:rPr>
          <w:rFonts w:ascii="Times New Roman" w:hAnsi="Times New Roman" w:cs="Times New Roman"/>
          <w:b/>
          <w:bCs/>
          <w:sz w:val="24"/>
          <w:szCs w:val="24"/>
        </w:rPr>
        <w:t>proceedings :</w:t>
      </w:r>
      <w:proofErr w:type="gramEnd"/>
      <w:r w:rsidRPr="00AA36E4">
        <w:rPr>
          <w:rFonts w:ascii="Times New Roman" w:hAnsi="Times New Roman" w:cs="Times New Roman"/>
          <w:b/>
          <w:bCs/>
          <w:sz w:val="24"/>
          <w:szCs w:val="24"/>
        </w:rPr>
        <w:t xml:space="preserve"> Delhi High Court</w:t>
      </w:r>
    </w:p>
    <w:p w14:paraId="731581B9" w14:textId="0C76638C" w:rsidR="00327E64" w:rsidRPr="00AA36E4" w:rsidRDefault="0034213A" w:rsidP="0034213A">
      <w:pPr>
        <w:jc w:val="both"/>
        <w:rPr>
          <w:rFonts w:ascii="Times New Roman" w:hAnsi="Times New Roman" w:cs="Times New Roman"/>
          <w:sz w:val="24"/>
          <w:szCs w:val="24"/>
        </w:rPr>
      </w:pPr>
      <w:r w:rsidRPr="00AA36E4">
        <w:rPr>
          <w:rFonts w:ascii="Times New Roman" w:hAnsi="Times New Roman" w:cs="Times New Roman"/>
          <w:sz w:val="24"/>
          <w:szCs w:val="24"/>
        </w:rPr>
        <w:t xml:space="preserve">If the Arbitral Tribunal holds the view that the respondents </w:t>
      </w:r>
      <w:proofErr w:type="gramStart"/>
      <w:r w:rsidRPr="00AA36E4">
        <w:rPr>
          <w:rFonts w:ascii="Times New Roman" w:hAnsi="Times New Roman" w:cs="Times New Roman"/>
          <w:sz w:val="24"/>
          <w:szCs w:val="24"/>
        </w:rPr>
        <w:t>has</w:t>
      </w:r>
      <w:proofErr w:type="gramEnd"/>
      <w:r w:rsidRPr="00AA36E4">
        <w:rPr>
          <w:rFonts w:ascii="Times New Roman" w:hAnsi="Times New Roman" w:cs="Times New Roman"/>
          <w:sz w:val="24"/>
          <w:szCs w:val="24"/>
        </w:rPr>
        <w:t xml:space="preserve"> established that the liability in question had been paid by it, then it warrants no interference of the court in the proceedings. </w:t>
      </w:r>
      <w:r w:rsidR="00327E64" w:rsidRPr="00AA36E4">
        <w:rPr>
          <w:rFonts w:ascii="Times New Roman" w:hAnsi="Times New Roman" w:cs="Times New Roman"/>
          <w:sz w:val="24"/>
          <w:szCs w:val="24"/>
        </w:rPr>
        <w:t xml:space="preserve">This was held in the judgment passed by a single judge bench </w:t>
      </w:r>
      <w:r w:rsidR="00AA36E4" w:rsidRPr="00AA36E4">
        <w:rPr>
          <w:rFonts w:ascii="Times New Roman" w:hAnsi="Times New Roman" w:cs="Times New Roman"/>
          <w:b/>
          <w:bCs/>
          <w:sz w:val="24"/>
          <w:szCs w:val="24"/>
        </w:rPr>
        <w:t>Hon’ble Mr Justice Vibhu Bakhru</w:t>
      </w:r>
      <w:r w:rsidR="00327E64" w:rsidRPr="00AA36E4">
        <w:rPr>
          <w:rFonts w:ascii="Times New Roman" w:hAnsi="Times New Roman" w:cs="Times New Roman"/>
          <w:sz w:val="24"/>
          <w:szCs w:val="24"/>
        </w:rPr>
        <w:t xml:space="preserve">, in the matter of </w:t>
      </w:r>
      <w:r w:rsidR="00AA36E4" w:rsidRPr="00AA36E4">
        <w:rPr>
          <w:rFonts w:ascii="Times New Roman" w:hAnsi="Times New Roman" w:cs="Times New Roman"/>
          <w:b/>
          <w:bCs/>
          <w:sz w:val="24"/>
          <w:szCs w:val="24"/>
        </w:rPr>
        <w:t xml:space="preserve">Vinod Agarwal &amp; </w:t>
      </w:r>
      <w:proofErr w:type="spellStart"/>
      <w:r w:rsidR="00AA36E4" w:rsidRPr="00AA36E4">
        <w:rPr>
          <w:rFonts w:ascii="Times New Roman" w:hAnsi="Times New Roman" w:cs="Times New Roman"/>
          <w:b/>
          <w:bCs/>
          <w:sz w:val="24"/>
          <w:szCs w:val="24"/>
        </w:rPr>
        <w:t>Anr</w:t>
      </w:r>
      <w:proofErr w:type="spellEnd"/>
      <w:r w:rsidR="00AA36E4" w:rsidRPr="00AA36E4">
        <w:rPr>
          <w:rFonts w:ascii="Times New Roman" w:hAnsi="Times New Roman" w:cs="Times New Roman"/>
          <w:b/>
          <w:bCs/>
          <w:sz w:val="24"/>
          <w:szCs w:val="24"/>
        </w:rPr>
        <w:t xml:space="preserve">. V. M/S Frost International Ltd. &amp; </w:t>
      </w:r>
      <w:proofErr w:type="spellStart"/>
      <w:r w:rsidR="00AA36E4" w:rsidRPr="00AA36E4">
        <w:rPr>
          <w:rFonts w:ascii="Times New Roman" w:hAnsi="Times New Roman" w:cs="Times New Roman"/>
          <w:b/>
          <w:bCs/>
          <w:sz w:val="24"/>
          <w:szCs w:val="24"/>
        </w:rPr>
        <w:t>Anr</w:t>
      </w:r>
      <w:proofErr w:type="spellEnd"/>
      <w:r w:rsidR="00AA36E4" w:rsidRPr="00AA36E4">
        <w:rPr>
          <w:rFonts w:ascii="Times New Roman" w:hAnsi="Times New Roman" w:cs="Times New Roman"/>
          <w:b/>
          <w:bCs/>
          <w:sz w:val="24"/>
          <w:szCs w:val="24"/>
        </w:rPr>
        <w:t>,</w:t>
      </w:r>
      <w:r w:rsidR="00AA36E4" w:rsidRPr="00AA36E4">
        <w:rPr>
          <w:rFonts w:ascii="Times New Roman" w:hAnsi="Times New Roman" w:cs="Times New Roman"/>
          <w:sz w:val="24"/>
          <w:szCs w:val="24"/>
        </w:rPr>
        <w:t xml:space="preserve"> </w:t>
      </w:r>
      <w:r w:rsidR="00327E64" w:rsidRPr="00AA36E4">
        <w:rPr>
          <w:rFonts w:ascii="Times New Roman" w:hAnsi="Times New Roman" w:cs="Times New Roman"/>
          <w:b/>
          <w:bCs/>
          <w:sz w:val="24"/>
          <w:szCs w:val="24"/>
        </w:rPr>
        <w:t>[O.M.P. (COMM) 207/2021 &amp; I.A. 9037/2021],</w:t>
      </w:r>
      <w:r w:rsidR="00327E64" w:rsidRPr="00AA36E4">
        <w:rPr>
          <w:rFonts w:ascii="Times New Roman" w:hAnsi="Times New Roman" w:cs="Times New Roman"/>
          <w:sz w:val="24"/>
          <w:szCs w:val="24"/>
        </w:rPr>
        <w:t xml:space="preserve"> dealt with an issue where the petitioner filed a petition challenging an Arbitral Award dated 27.11.2018 delivered by an Arbitral Tribunal comprising of a Sole Arbitrator.</w:t>
      </w:r>
    </w:p>
    <w:p w14:paraId="39C44034" w14:textId="03766A03" w:rsidR="00327E64" w:rsidRPr="00AA36E4" w:rsidRDefault="00327E64" w:rsidP="0034213A">
      <w:pPr>
        <w:jc w:val="both"/>
        <w:rPr>
          <w:rFonts w:ascii="Times New Roman" w:hAnsi="Times New Roman" w:cs="Times New Roman"/>
          <w:sz w:val="24"/>
          <w:szCs w:val="24"/>
        </w:rPr>
      </w:pPr>
      <w:r w:rsidRPr="00AA36E4">
        <w:rPr>
          <w:rFonts w:ascii="Times New Roman" w:hAnsi="Times New Roman" w:cs="Times New Roman"/>
          <w:sz w:val="24"/>
          <w:szCs w:val="24"/>
        </w:rPr>
        <w:t>The Arbitral Tribunal held that the petitioners were liable to pay the said amount against their obligation to indemnify Frost for any loss caused on account of breach of their representations and warranties in terms of the Share Purchase Agreement.</w:t>
      </w:r>
    </w:p>
    <w:p w14:paraId="70CDB839" w14:textId="6DF17BAA" w:rsidR="00327E64" w:rsidRPr="00AA36E4" w:rsidRDefault="00327E64" w:rsidP="0034213A">
      <w:pPr>
        <w:jc w:val="both"/>
        <w:rPr>
          <w:rFonts w:ascii="Times New Roman" w:hAnsi="Times New Roman" w:cs="Times New Roman"/>
          <w:sz w:val="24"/>
          <w:szCs w:val="24"/>
        </w:rPr>
      </w:pPr>
      <w:r w:rsidRPr="00AA36E4">
        <w:rPr>
          <w:rFonts w:ascii="Times New Roman" w:hAnsi="Times New Roman" w:cs="Times New Roman"/>
          <w:sz w:val="24"/>
          <w:szCs w:val="24"/>
        </w:rPr>
        <w:t>The Arbitral Tribunal had also found that Frost had paid the said liability and thus, in terms of Clause 7.1 of the SPA, the petitioners were liable to make good the loss suffered by Frost.</w:t>
      </w:r>
    </w:p>
    <w:p w14:paraId="162975B1" w14:textId="55171971" w:rsidR="00327E64" w:rsidRPr="00AA36E4" w:rsidRDefault="00327E64" w:rsidP="0034213A">
      <w:pPr>
        <w:jc w:val="both"/>
        <w:rPr>
          <w:rFonts w:ascii="Times New Roman" w:hAnsi="Times New Roman" w:cs="Times New Roman"/>
          <w:sz w:val="24"/>
          <w:szCs w:val="24"/>
        </w:rPr>
      </w:pPr>
      <w:r w:rsidRPr="00AA36E4">
        <w:rPr>
          <w:rFonts w:ascii="Times New Roman" w:hAnsi="Times New Roman" w:cs="Times New Roman"/>
          <w:sz w:val="24"/>
          <w:szCs w:val="24"/>
        </w:rPr>
        <w:t xml:space="preserve">The counsel for the petitioner submitted that in any event, there was no evidence on record to establish that Frost had discharged the aforesaid liability by making payments to the Income Tax Authorities. He submitted that even if it is accepted that </w:t>
      </w:r>
      <w:proofErr w:type="spellStart"/>
      <w:r w:rsidRPr="00AA36E4">
        <w:rPr>
          <w:rFonts w:ascii="Times New Roman" w:hAnsi="Times New Roman" w:cs="Times New Roman"/>
          <w:sz w:val="24"/>
          <w:szCs w:val="24"/>
        </w:rPr>
        <w:t>Agros</w:t>
      </w:r>
      <w:proofErr w:type="spellEnd"/>
      <w:r w:rsidRPr="00AA36E4">
        <w:rPr>
          <w:rFonts w:ascii="Times New Roman" w:hAnsi="Times New Roman" w:cs="Times New Roman"/>
          <w:sz w:val="24"/>
          <w:szCs w:val="24"/>
        </w:rPr>
        <w:t xml:space="preserve"> had incurred a liability towards Income Tax and penalty amounting to ₹82,73,709/- as asserted by Frost, the same could not possibly lead to the conclusion that Frost had incurred a corresponding loss to that extent. He stated that the additional tax was a liability of </w:t>
      </w:r>
      <w:proofErr w:type="spellStart"/>
      <w:r w:rsidRPr="00AA36E4">
        <w:rPr>
          <w:rFonts w:ascii="Times New Roman" w:hAnsi="Times New Roman" w:cs="Times New Roman"/>
          <w:sz w:val="24"/>
          <w:szCs w:val="24"/>
        </w:rPr>
        <w:t>Agros</w:t>
      </w:r>
      <w:proofErr w:type="spellEnd"/>
      <w:r w:rsidRPr="00AA36E4">
        <w:rPr>
          <w:rFonts w:ascii="Times New Roman" w:hAnsi="Times New Roman" w:cs="Times New Roman"/>
          <w:sz w:val="24"/>
          <w:szCs w:val="24"/>
        </w:rPr>
        <w:t xml:space="preserve">; not of Frost. Therefore, Frost had not incurred any loss on account of additional Income Tax assessed as payable by </w:t>
      </w:r>
      <w:proofErr w:type="spellStart"/>
      <w:r w:rsidRPr="00AA36E4">
        <w:rPr>
          <w:rFonts w:ascii="Times New Roman" w:hAnsi="Times New Roman" w:cs="Times New Roman"/>
          <w:sz w:val="24"/>
          <w:szCs w:val="24"/>
        </w:rPr>
        <w:t>Agros</w:t>
      </w:r>
      <w:proofErr w:type="spellEnd"/>
      <w:r w:rsidRPr="00AA36E4">
        <w:rPr>
          <w:rFonts w:ascii="Times New Roman" w:hAnsi="Times New Roman" w:cs="Times New Roman"/>
          <w:sz w:val="24"/>
          <w:szCs w:val="24"/>
        </w:rPr>
        <w:t xml:space="preserve">. He submitted that theoretically, it was possible for Frost to have incurred a loss on account of diminution in the value of the shares sold by the petitioners to Frost in terms of the SPA. </w:t>
      </w:r>
      <w:proofErr w:type="gramStart"/>
      <w:r w:rsidRPr="00AA36E4">
        <w:rPr>
          <w:rFonts w:ascii="Times New Roman" w:hAnsi="Times New Roman" w:cs="Times New Roman"/>
          <w:sz w:val="24"/>
          <w:szCs w:val="24"/>
        </w:rPr>
        <w:t>But,</w:t>
      </w:r>
      <w:proofErr w:type="gramEnd"/>
      <w:r w:rsidRPr="00AA36E4">
        <w:rPr>
          <w:rFonts w:ascii="Times New Roman" w:hAnsi="Times New Roman" w:cs="Times New Roman"/>
          <w:sz w:val="24"/>
          <w:szCs w:val="24"/>
        </w:rPr>
        <w:t xml:space="preserve"> Frost had not founded its claim on the said assertion. Frost had claimed the amount as a direct loss incurred by it, which it had failed to establish.</w:t>
      </w:r>
    </w:p>
    <w:p w14:paraId="7237E8E7" w14:textId="50B5BADA" w:rsidR="00327E64" w:rsidRPr="00AA36E4" w:rsidRDefault="00327E64" w:rsidP="0034213A">
      <w:pPr>
        <w:jc w:val="both"/>
        <w:rPr>
          <w:rFonts w:ascii="Times New Roman" w:hAnsi="Times New Roman" w:cs="Times New Roman"/>
          <w:sz w:val="24"/>
          <w:szCs w:val="24"/>
        </w:rPr>
      </w:pPr>
      <w:r w:rsidRPr="00AA36E4">
        <w:rPr>
          <w:rFonts w:ascii="Times New Roman" w:hAnsi="Times New Roman" w:cs="Times New Roman"/>
          <w:sz w:val="24"/>
          <w:szCs w:val="24"/>
        </w:rPr>
        <w:t xml:space="preserve">The respondents Frost pleaded that the petitioners continued to be in effective control and management of </w:t>
      </w:r>
      <w:proofErr w:type="spellStart"/>
      <w:r w:rsidRPr="00AA36E4">
        <w:rPr>
          <w:rFonts w:ascii="Times New Roman" w:hAnsi="Times New Roman" w:cs="Times New Roman"/>
          <w:sz w:val="24"/>
          <w:szCs w:val="24"/>
        </w:rPr>
        <w:t>Agros</w:t>
      </w:r>
      <w:proofErr w:type="spellEnd"/>
      <w:r w:rsidRPr="00AA36E4">
        <w:rPr>
          <w:rFonts w:ascii="Times New Roman" w:hAnsi="Times New Roman" w:cs="Times New Roman"/>
          <w:sz w:val="24"/>
          <w:szCs w:val="24"/>
        </w:rPr>
        <w:t xml:space="preserve"> even after their equity holding in </w:t>
      </w:r>
      <w:proofErr w:type="spellStart"/>
      <w:r w:rsidRPr="00AA36E4">
        <w:rPr>
          <w:rFonts w:ascii="Times New Roman" w:hAnsi="Times New Roman" w:cs="Times New Roman"/>
          <w:sz w:val="24"/>
          <w:szCs w:val="24"/>
        </w:rPr>
        <w:t>Agros</w:t>
      </w:r>
      <w:proofErr w:type="spellEnd"/>
      <w:r w:rsidRPr="00AA36E4">
        <w:rPr>
          <w:rFonts w:ascii="Times New Roman" w:hAnsi="Times New Roman" w:cs="Times New Roman"/>
          <w:sz w:val="24"/>
          <w:szCs w:val="24"/>
        </w:rPr>
        <w:t xml:space="preserve"> was diluted by fresh issue of shares pursuant to the said Share Subscription Agreement. It also stated that it invested ₹2,22,00,000/- (Rupees Two Crores and Twenty-Two Lacs) in </w:t>
      </w:r>
      <w:proofErr w:type="spellStart"/>
      <w:r w:rsidRPr="00AA36E4">
        <w:rPr>
          <w:rFonts w:ascii="Times New Roman" w:hAnsi="Times New Roman" w:cs="Times New Roman"/>
          <w:sz w:val="24"/>
          <w:szCs w:val="24"/>
        </w:rPr>
        <w:t>Agros</w:t>
      </w:r>
      <w:proofErr w:type="spellEnd"/>
      <w:r w:rsidRPr="00AA36E4">
        <w:rPr>
          <w:rFonts w:ascii="Times New Roman" w:hAnsi="Times New Roman" w:cs="Times New Roman"/>
          <w:sz w:val="24"/>
          <w:szCs w:val="24"/>
        </w:rPr>
        <w:t xml:space="preserve"> after it was converted into a Joint Venture Company pursuant to the Joint Venture Agreement and dilution of the share capital in terms of the Shares Subscription Agreement.</w:t>
      </w:r>
    </w:p>
    <w:p w14:paraId="3DBF5E0D" w14:textId="4A6ED2CE" w:rsidR="00327E64" w:rsidRPr="00AA36E4" w:rsidRDefault="00327E64" w:rsidP="0034213A">
      <w:pPr>
        <w:jc w:val="both"/>
        <w:rPr>
          <w:rFonts w:ascii="Times New Roman" w:hAnsi="Times New Roman" w:cs="Times New Roman"/>
          <w:sz w:val="24"/>
          <w:szCs w:val="24"/>
        </w:rPr>
      </w:pPr>
      <w:r w:rsidRPr="00AA36E4">
        <w:rPr>
          <w:rFonts w:ascii="Times New Roman" w:hAnsi="Times New Roman" w:cs="Times New Roman"/>
          <w:sz w:val="24"/>
          <w:szCs w:val="24"/>
        </w:rPr>
        <w:t xml:space="preserve">After hearing both the parties </w:t>
      </w:r>
      <w:r w:rsidRPr="00AA36E4">
        <w:rPr>
          <w:rFonts w:ascii="Times New Roman" w:hAnsi="Times New Roman" w:cs="Times New Roman"/>
          <w:b/>
          <w:bCs/>
          <w:sz w:val="24"/>
          <w:szCs w:val="24"/>
        </w:rPr>
        <w:t>The Hon’ble Delhi High Court</w:t>
      </w:r>
      <w:r w:rsidRPr="00AA36E4">
        <w:rPr>
          <w:rFonts w:ascii="Times New Roman" w:hAnsi="Times New Roman" w:cs="Times New Roman"/>
          <w:sz w:val="24"/>
          <w:szCs w:val="24"/>
        </w:rPr>
        <w:t xml:space="preserve"> </w:t>
      </w:r>
      <w:r w:rsidR="0034213A" w:rsidRPr="00AA36E4">
        <w:rPr>
          <w:rFonts w:ascii="Times New Roman" w:hAnsi="Times New Roman" w:cs="Times New Roman"/>
          <w:sz w:val="24"/>
          <w:szCs w:val="24"/>
        </w:rPr>
        <w:t xml:space="preserve">dismissed </w:t>
      </w:r>
      <w:r w:rsidRPr="00AA36E4">
        <w:rPr>
          <w:rFonts w:ascii="Times New Roman" w:hAnsi="Times New Roman" w:cs="Times New Roman"/>
          <w:sz w:val="24"/>
          <w:szCs w:val="24"/>
        </w:rPr>
        <w:t>the petition and held</w:t>
      </w:r>
      <w:r w:rsidR="0034213A" w:rsidRPr="00AA36E4">
        <w:rPr>
          <w:rFonts w:ascii="Times New Roman" w:hAnsi="Times New Roman" w:cs="Times New Roman"/>
          <w:sz w:val="24"/>
          <w:szCs w:val="24"/>
        </w:rPr>
        <w:t xml:space="preserve"> that </w:t>
      </w:r>
      <w:r w:rsidR="00FA1BA4">
        <w:rPr>
          <w:rFonts w:ascii="Times New Roman" w:hAnsi="Times New Roman" w:cs="Times New Roman"/>
          <w:sz w:val="24"/>
          <w:szCs w:val="24"/>
        </w:rPr>
        <w:t>“</w:t>
      </w:r>
      <w:r w:rsidR="0034213A" w:rsidRPr="00FA1BA4">
        <w:rPr>
          <w:rFonts w:ascii="Times New Roman" w:hAnsi="Times New Roman" w:cs="Times New Roman"/>
          <w:i/>
          <w:iCs/>
          <w:sz w:val="24"/>
          <w:szCs w:val="24"/>
        </w:rPr>
        <w:t>In terms of Clause 7.1 of the SPA, the petitioners had agreed to indemnify and defend the “buyer indemnified party” against all liability that may be suffered, sustained, incurred or paid by any buyer indemnified party</w:t>
      </w:r>
      <w:r w:rsidR="00FA1BA4">
        <w:rPr>
          <w:rFonts w:ascii="Times New Roman" w:hAnsi="Times New Roman" w:cs="Times New Roman"/>
          <w:sz w:val="24"/>
          <w:szCs w:val="24"/>
        </w:rPr>
        <w:t>”</w:t>
      </w:r>
      <w:r w:rsidR="0034213A" w:rsidRPr="00AA36E4">
        <w:rPr>
          <w:rFonts w:ascii="Times New Roman" w:hAnsi="Times New Roman" w:cs="Times New Roman"/>
          <w:sz w:val="24"/>
          <w:szCs w:val="24"/>
        </w:rPr>
        <w:t xml:space="preserve">. Thus, in terms of Clause 7.1 of the SPA, the petitioners were required to hold the respondents harmless against any payment of any liability that was not disclosed in the books of </w:t>
      </w:r>
      <w:proofErr w:type="spellStart"/>
      <w:r w:rsidR="0034213A" w:rsidRPr="00AA36E4">
        <w:rPr>
          <w:rFonts w:ascii="Times New Roman" w:hAnsi="Times New Roman" w:cs="Times New Roman"/>
          <w:sz w:val="24"/>
          <w:szCs w:val="24"/>
        </w:rPr>
        <w:t>Agros</w:t>
      </w:r>
      <w:proofErr w:type="spellEnd"/>
      <w:r w:rsidR="0034213A" w:rsidRPr="00AA36E4">
        <w:rPr>
          <w:rFonts w:ascii="Times New Roman" w:hAnsi="Times New Roman" w:cs="Times New Roman"/>
          <w:sz w:val="24"/>
          <w:szCs w:val="24"/>
        </w:rPr>
        <w:t>. Since it is established that the liability had been paid by the respondents, the petitioners were required to indemnify the respondents in respect of the same.</w:t>
      </w:r>
    </w:p>
    <w:p w14:paraId="75F5F156" w14:textId="77777777" w:rsidR="0034213A" w:rsidRPr="00AA36E4" w:rsidRDefault="0034213A" w:rsidP="0034213A">
      <w:pPr>
        <w:jc w:val="both"/>
        <w:rPr>
          <w:rFonts w:ascii="Times New Roman" w:hAnsi="Times New Roman" w:cs="Times New Roman"/>
          <w:sz w:val="24"/>
          <w:szCs w:val="24"/>
        </w:rPr>
      </w:pPr>
    </w:p>
    <w:p w14:paraId="500A5802" w14:textId="77777777" w:rsidR="00327E64" w:rsidRPr="00AA36E4" w:rsidRDefault="00327E64" w:rsidP="0034213A">
      <w:pPr>
        <w:spacing w:line="360" w:lineRule="auto"/>
        <w:jc w:val="both"/>
        <w:rPr>
          <w:rFonts w:ascii="Times New Roman" w:hAnsi="Times New Roman" w:cs="Times New Roman"/>
          <w:b/>
          <w:bCs/>
          <w:sz w:val="24"/>
          <w:szCs w:val="24"/>
        </w:rPr>
      </w:pPr>
      <w:r w:rsidRPr="00AA36E4">
        <w:rPr>
          <w:rFonts w:ascii="Times New Roman" w:hAnsi="Times New Roman" w:cs="Times New Roman"/>
          <w:b/>
          <w:bCs/>
          <w:sz w:val="24"/>
          <w:szCs w:val="24"/>
        </w:rPr>
        <w:t>Judgement reviewed by – Vaishnavi Raman</w:t>
      </w:r>
    </w:p>
    <w:p w14:paraId="5F977257" w14:textId="77777777" w:rsidR="00327E64" w:rsidRPr="00AA36E4" w:rsidRDefault="00327E64" w:rsidP="0034213A">
      <w:pPr>
        <w:jc w:val="both"/>
        <w:rPr>
          <w:rFonts w:ascii="Times New Roman" w:hAnsi="Times New Roman" w:cs="Times New Roman"/>
          <w:sz w:val="24"/>
          <w:szCs w:val="24"/>
        </w:rPr>
      </w:pPr>
    </w:p>
    <w:sectPr w:rsidR="00327E64" w:rsidRPr="00AA36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E64"/>
    <w:rsid w:val="00327E64"/>
    <w:rsid w:val="0034213A"/>
    <w:rsid w:val="00447365"/>
    <w:rsid w:val="00AA36E4"/>
    <w:rsid w:val="00FA1BA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1F4A"/>
  <w15:chartTrackingRefBased/>
  <w15:docId w15:val="{82248B5B-E1DA-400E-BD47-0E79B3EF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Vaishnavi</dc:creator>
  <cp:keywords/>
  <dc:description/>
  <cp:lastModifiedBy>Vaishnavi</cp:lastModifiedBy>
  <cp:revision>3</cp:revision>
  <dcterms:created xsi:type="dcterms:W3CDTF">2021-09-20T09:27:00Z</dcterms:created>
  <dcterms:modified xsi:type="dcterms:W3CDTF">2021-09-21T08:29:00Z</dcterms:modified>
</cp:coreProperties>
</file>