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45F7" w14:textId="77777777" w:rsidR="002226C2" w:rsidRPr="002226C2" w:rsidRDefault="002226C2" w:rsidP="002226C2">
      <w:pPr>
        <w:spacing w:after="0" w:line="240" w:lineRule="auto"/>
        <w:jc w:val="both"/>
        <w:rPr>
          <w:rFonts w:ascii="Times New Roman" w:eastAsia="Times New Roman" w:hAnsi="Times New Roman" w:cs="Times New Roman"/>
          <w:b/>
          <w:bCs/>
          <w:color w:val="CDBFAC"/>
          <w:sz w:val="29"/>
          <w:szCs w:val="29"/>
          <w:lang w:eastAsia="en-IN"/>
        </w:rPr>
      </w:pPr>
      <w:r w:rsidRPr="002226C2">
        <w:rPr>
          <w:rFonts w:ascii="Times New Roman" w:eastAsia="Times New Roman" w:hAnsi="Times New Roman" w:cs="Times New Roman"/>
          <w:b/>
          <w:bCs/>
          <w:color w:val="CDBFAC"/>
          <w:sz w:val="29"/>
          <w:szCs w:val="29"/>
          <w:lang w:eastAsia="en-IN"/>
        </w:rPr>
        <w:t>Karnataka High Court</w:t>
      </w:r>
    </w:p>
    <w:p w14:paraId="7881EB6B" w14:textId="77777777" w:rsidR="002226C2" w:rsidRPr="002226C2" w:rsidRDefault="002226C2" w:rsidP="002226C2">
      <w:pPr>
        <w:spacing w:after="150" w:line="240" w:lineRule="auto"/>
        <w:jc w:val="both"/>
        <w:rPr>
          <w:rFonts w:ascii="Times New Roman" w:eastAsia="Times New Roman" w:hAnsi="Times New Roman" w:cs="Times New Roman"/>
          <w:b/>
          <w:bCs/>
          <w:color w:val="000000"/>
          <w:sz w:val="26"/>
          <w:szCs w:val="26"/>
          <w:lang w:eastAsia="en-IN"/>
        </w:rPr>
      </w:pPr>
      <w:r w:rsidRPr="002226C2">
        <w:rPr>
          <w:rFonts w:ascii="Times New Roman" w:eastAsia="Times New Roman" w:hAnsi="Times New Roman" w:cs="Times New Roman"/>
          <w:b/>
          <w:bCs/>
          <w:color w:val="000000"/>
          <w:sz w:val="26"/>
          <w:szCs w:val="26"/>
          <w:lang w:eastAsia="en-IN"/>
        </w:rPr>
        <w:t>Sri Babu A Dhammanagi vs Union Of India on 5 April, 2022</w:t>
      </w:r>
    </w:p>
    <w:p w14:paraId="2B316E25" w14:textId="77777777" w:rsidR="002226C2" w:rsidRPr="002226C2" w:rsidRDefault="002226C2" w:rsidP="002226C2">
      <w:pPr>
        <w:spacing w:after="75" w:line="240" w:lineRule="auto"/>
        <w:jc w:val="both"/>
        <w:rPr>
          <w:rFonts w:ascii="Times New Roman" w:eastAsia="Times New Roman" w:hAnsi="Times New Roman" w:cs="Times New Roman"/>
          <w:b/>
          <w:bCs/>
          <w:color w:val="000000"/>
          <w:sz w:val="25"/>
          <w:szCs w:val="25"/>
          <w:lang w:eastAsia="en-IN"/>
        </w:rPr>
      </w:pPr>
      <w:r w:rsidRPr="002226C2">
        <w:rPr>
          <w:rFonts w:ascii="Times New Roman" w:eastAsia="Times New Roman" w:hAnsi="Times New Roman" w:cs="Times New Roman"/>
          <w:b/>
          <w:bCs/>
          <w:color w:val="000000"/>
          <w:sz w:val="25"/>
          <w:szCs w:val="25"/>
          <w:lang w:eastAsia="en-IN"/>
        </w:rPr>
        <w:t>Bench: Alok Aradhe, S Vishwajith Shetty</w:t>
      </w:r>
    </w:p>
    <w:p w14:paraId="225B481A"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1</w:t>
      </w:r>
    </w:p>
    <w:p w14:paraId="22E9CBF0"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7E417C64"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314E1019"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1ACC6E05"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IN THE HIGH COURT OF KARNATAKA AT BENGALURU</w:t>
      </w:r>
    </w:p>
    <w:p w14:paraId="2FA56E9D"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78914ABC"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DATED THIS THE 5TH DAY OF APRIL 2022</w:t>
      </w:r>
    </w:p>
    <w:p w14:paraId="78ECF5FF"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35A62076"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PRESENT</w:t>
      </w:r>
    </w:p>
    <w:p w14:paraId="41382D34"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232AF1AB"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THE HON'BLE MR. JUSTICE ALOK ARADHE</w:t>
      </w:r>
    </w:p>
    <w:p w14:paraId="4185F56D"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4B253B4D"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AND</w:t>
      </w:r>
    </w:p>
    <w:p w14:paraId="6E60D79B"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143C3EF6"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THE HON'BLE MR.JUSTICE S. VISHWAJITH SHETTY</w:t>
      </w:r>
    </w:p>
    <w:p w14:paraId="66481B56"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774DA661"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W.P. No.21626 OF 2021 (GM-RES)</w:t>
      </w:r>
    </w:p>
    <w:p w14:paraId="78F4C5E7"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61593A0F"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BETWEEN:</w:t>
      </w:r>
    </w:p>
    <w:p w14:paraId="37153721"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43F0B31F"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1.    SRI. BABU A. DHAMMANAGI</w:t>
      </w:r>
    </w:p>
    <w:p w14:paraId="041486B4"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S/O LATE ADIVEPPA DHAMMANAGI</w:t>
      </w:r>
    </w:p>
    <w:p w14:paraId="22806416"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AGED ABOUT 67 YEARS.</w:t>
      </w:r>
    </w:p>
    <w:p w14:paraId="328C586A"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4D28ABBB"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2.    SMT. MANGALA B. DHAMMANAGI</w:t>
      </w:r>
    </w:p>
    <w:p w14:paraId="2C50FAE1"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W/O BABU A. DHAMMANAGI</w:t>
      </w:r>
    </w:p>
    <w:p w14:paraId="39B54A54"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AGED ABOUT 60 YEARS.</w:t>
      </w:r>
    </w:p>
    <w:p w14:paraId="7AF14204"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147E9AED"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BOTH ARE R/AT 137</w:t>
      </w:r>
    </w:p>
    <w:p w14:paraId="580A3928"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RAILWAY ROAD</w:t>
      </w:r>
    </w:p>
    <w:p w14:paraId="1B3FA32D"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KUMARA PARK WEST</w:t>
      </w:r>
    </w:p>
    <w:p w14:paraId="7363C18C"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BENGALURU 560 020.</w:t>
      </w:r>
    </w:p>
    <w:p w14:paraId="55050DA5"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3DE96176"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 PETITIONERS</w:t>
      </w:r>
    </w:p>
    <w:p w14:paraId="3D4CC2A2"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44D3A7BA"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lastRenderedPageBreak/>
        <w:t>(BY MR. SHASHANK KUMAR, ADV.,)</w:t>
      </w:r>
    </w:p>
    <w:p w14:paraId="06D67379"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6C18A7D2"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AND:</w:t>
      </w:r>
    </w:p>
    <w:p w14:paraId="08EB0C58"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3C45328F"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1.      UNION OF INDIA</w:t>
      </w:r>
    </w:p>
    <w:p w14:paraId="45B16054"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MINISTRY OF FINANCE</w:t>
      </w:r>
    </w:p>
    <w:p w14:paraId="40C96230"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BY ITS UNDER SECRETARY</w:t>
      </w:r>
    </w:p>
    <w:p w14:paraId="08C8A5F4"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JEEVAN DEEP BUILDING</w:t>
      </w:r>
    </w:p>
    <w:p w14:paraId="1493454E"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SANSAD MARG</w:t>
      </w:r>
    </w:p>
    <w:p w14:paraId="70D675A2"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NEW DELHI 110 001.</w:t>
      </w:r>
    </w:p>
    <w:p w14:paraId="6E6BBFCF"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2</w:t>
      </w:r>
    </w:p>
    <w:p w14:paraId="36AA610F"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415A55D7"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419BE755"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150673A2"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2.   M/S. PIRAMAL CAPITAL AND HOUSING FINANCE LIMITED</w:t>
      </w:r>
    </w:p>
    <w:p w14:paraId="338ED9D4"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REP. BY MANAGING DIRECTOR</w:t>
      </w:r>
    </w:p>
    <w:p w14:paraId="0A477AE7"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4TH FLOOR, PIRMAL TOWER</w:t>
      </w:r>
    </w:p>
    <w:p w14:paraId="73429E12"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PENINSULA CORPORATE PARK</w:t>
      </w:r>
    </w:p>
    <w:p w14:paraId="5DB7148B"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GANPATRAO KADAM MARG</w:t>
      </w:r>
    </w:p>
    <w:p w14:paraId="539C0A03"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LOWER PAREL, MUMBAI 400 013.</w:t>
      </w:r>
    </w:p>
    <w:p w14:paraId="2438F60D"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384405D9"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3.   MR. JAYESH NATVARALAL SANGHRAJKA</w:t>
      </w:r>
    </w:p>
    <w:p w14:paraId="24A1275B"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MAJOR, AT NO.405 - 407</w:t>
      </w:r>
    </w:p>
    <w:p w14:paraId="556F9983"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HIND RAJASHTANA BUILDING</w:t>
      </w:r>
    </w:p>
    <w:p w14:paraId="35610D0F"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D S PHALKE ROAD</w:t>
      </w:r>
    </w:p>
    <w:p w14:paraId="673EC373"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DADAR EAST, MUMBAI 400 014.</w:t>
      </w:r>
    </w:p>
    <w:p w14:paraId="6DDD0C29"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542864A0"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 RESPONDENTS</w:t>
      </w:r>
    </w:p>
    <w:p w14:paraId="2CA91EF9"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(BY MR. M.N. KUMAR, CGC FOR R1</w:t>
      </w:r>
    </w:p>
    <w:p w14:paraId="6F160FEB"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MR. ANGAD VERMA, ADV., FOR</w:t>
      </w:r>
    </w:p>
    <w:p w14:paraId="3C6DA5EE"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MR. GEORGE JOSEPH, ADV., FOR R2</w:t>
      </w:r>
    </w:p>
    <w:p w14:paraId="5583632B"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MS/MRS. MALARIKA PRASAD, ADV., FOR</w:t>
      </w:r>
    </w:p>
    <w:p w14:paraId="2C803BF1"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MR. A.S. VISHWAJITH, ADV., FOR R3)</w:t>
      </w:r>
    </w:p>
    <w:p w14:paraId="4E8865CA"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w:t>
      </w:r>
    </w:p>
    <w:p w14:paraId="61B5DD08"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18ED7644"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THIS W.P. IS FILED UNDER </w:t>
      </w:r>
      <w:hyperlink r:id="rId4" w:history="1">
        <w:r w:rsidRPr="002226C2">
          <w:rPr>
            <w:rFonts w:ascii="Courier New" w:eastAsia="Times New Roman" w:hAnsi="Courier New" w:cs="Courier New"/>
            <w:color w:val="1100CC"/>
            <w:sz w:val="24"/>
            <w:szCs w:val="24"/>
            <w:u w:val="single"/>
            <w:lang w:eastAsia="en-IN"/>
          </w:rPr>
          <w:t>ARTICLE 226</w:t>
        </w:r>
      </w:hyperlink>
      <w:r w:rsidRPr="002226C2">
        <w:rPr>
          <w:rFonts w:ascii="Courier New" w:eastAsia="Times New Roman" w:hAnsi="Courier New" w:cs="Courier New"/>
          <w:color w:val="000000"/>
          <w:sz w:val="24"/>
          <w:szCs w:val="24"/>
          <w:lang w:eastAsia="en-IN"/>
        </w:rPr>
        <w:t xml:space="preserve"> AND </w:t>
      </w:r>
      <w:hyperlink r:id="rId5" w:history="1">
        <w:r w:rsidRPr="002226C2">
          <w:rPr>
            <w:rFonts w:ascii="Courier New" w:eastAsia="Times New Roman" w:hAnsi="Courier New" w:cs="Courier New"/>
            <w:color w:val="1100CC"/>
            <w:sz w:val="24"/>
            <w:szCs w:val="24"/>
            <w:u w:val="single"/>
            <w:lang w:eastAsia="en-IN"/>
          </w:rPr>
          <w:t>227</w:t>
        </w:r>
      </w:hyperlink>
      <w:r w:rsidRPr="002226C2">
        <w:rPr>
          <w:rFonts w:ascii="Courier New" w:eastAsia="Times New Roman" w:hAnsi="Courier New" w:cs="Courier New"/>
          <w:color w:val="000000"/>
          <w:sz w:val="24"/>
          <w:szCs w:val="24"/>
          <w:lang w:eastAsia="en-IN"/>
        </w:rPr>
        <w:t xml:space="preserve"> OF THE</w:t>
      </w:r>
    </w:p>
    <w:p w14:paraId="68DED9EE"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CONSTITUTION OF INDIA, PRAYING TO DECLARE SECTION 95 (1)</w:t>
      </w:r>
    </w:p>
    <w:p w14:paraId="485B6763"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OF   INSOLVENCY     AND    BANKRUPTCY   CODE,   2016   AS</w:t>
      </w:r>
    </w:p>
    <w:p w14:paraId="759A1854"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UNCONSTITUTIONAL TO THE EXTENT PERMITTING FILING OF</w:t>
      </w:r>
    </w:p>
    <w:p w14:paraId="33A446C7"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APPLICATION THROUGH THE RESOLUTION PROFESSIONAL</w:t>
      </w:r>
    </w:p>
    <w:p w14:paraId="403C084D"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RESPONDENT NO.3. DECLARE THE ENTIRE SECTION 99 AND 100</w:t>
      </w:r>
    </w:p>
    <w:p w14:paraId="5A173ACD"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OF   INSOLVENCY     AND    BANKRUPTCY   CODE,   2016   AS</w:t>
      </w:r>
    </w:p>
    <w:p w14:paraId="4837B997"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UNCONSTITUTIONAL BEING VIOLATIVE </w:t>
      </w:r>
      <w:hyperlink r:id="rId6" w:history="1">
        <w:r w:rsidRPr="002226C2">
          <w:rPr>
            <w:rFonts w:ascii="Courier New" w:eastAsia="Times New Roman" w:hAnsi="Courier New" w:cs="Courier New"/>
            <w:color w:val="1100CC"/>
            <w:sz w:val="24"/>
            <w:szCs w:val="24"/>
            <w:u w:val="single"/>
            <w:lang w:eastAsia="en-IN"/>
          </w:rPr>
          <w:t>ARTICLE 14</w:t>
        </w:r>
      </w:hyperlink>
      <w:r w:rsidRPr="002226C2">
        <w:rPr>
          <w:rFonts w:ascii="Courier New" w:eastAsia="Times New Roman" w:hAnsi="Courier New" w:cs="Courier New"/>
          <w:color w:val="000000"/>
          <w:sz w:val="24"/>
          <w:szCs w:val="24"/>
          <w:lang w:eastAsia="en-IN"/>
        </w:rPr>
        <w:t xml:space="preserve"> OF THE</w:t>
      </w:r>
    </w:p>
    <w:p w14:paraId="1CD7BE02"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CONSTITUTION. QUASH THE ENTIRE PROCEEDING IN CP (IB)</w:t>
      </w:r>
    </w:p>
    <w:p w14:paraId="1BA118A3"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NO.58/BB/2021 AND CP (IB) NO.59/BB/2021 PENDING BEFORE</w:t>
      </w:r>
    </w:p>
    <w:p w14:paraId="0E3AEAC0"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THE NCLT.</w:t>
      </w:r>
    </w:p>
    <w:p w14:paraId="054C90CF"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655C0C7F"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THIS W.P. COMING ON FOR PRELIMINARY HEARING, THIS</w:t>
      </w:r>
    </w:p>
    <w:p w14:paraId="17583FED"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DAY, ALOK ARADHE J., MADE THE FOLLOWING:</w:t>
      </w:r>
    </w:p>
    <w:p w14:paraId="2F992E22" w14:textId="77777777" w:rsidR="002226C2" w:rsidRPr="002226C2" w:rsidRDefault="002226C2" w:rsidP="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2226C2">
        <w:rPr>
          <w:rFonts w:ascii="Courier New" w:eastAsia="Times New Roman" w:hAnsi="Courier New" w:cs="Courier New"/>
          <w:color w:val="000000"/>
          <w:sz w:val="24"/>
          <w:szCs w:val="24"/>
          <w:lang w:eastAsia="en-IN"/>
        </w:rPr>
        <w:t xml:space="preserve">                          ORDER</w:t>
      </w:r>
    </w:p>
    <w:p w14:paraId="228B8952" w14:textId="77777777" w:rsidR="002226C2" w:rsidRPr="002226C2" w:rsidRDefault="002226C2" w:rsidP="002226C2">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2226C2">
        <w:rPr>
          <w:rFonts w:ascii="Times New Roman" w:eastAsia="Times New Roman" w:hAnsi="Times New Roman" w:cs="Times New Roman"/>
          <w:color w:val="000000"/>
          <w:sz w:val="25"/>
          <w:szCs w:val="25"/>
          <w:lang w:eastAsia="en-IN"/>
        </w:rPr>
        <w:t>In this writ petition, the petitioner inter alia has assailed the validity of </w:t>
      </w:r>
      <w:hyperlink r:id="rId7" w:history="1">
        <w:r w:rsidRPr="002226C2">
          <w:rPr>
            <w:rFonts w:ascii="Times New Roman" w:eastAsia="Times New Roman" w:hAnsi="Times New Roman" w:cs="Times New Roman"/>
            <w:color w:val="1100CC"/>
            <w:sz w:val="25"/>
            <w:szCs w:val="25"/>
            <w:u w:val="single"/>
            <w:lang w:eastAsia="en-IN"/>
          </w:rPr>
          <w:t>Section 95(1)</w:t>
        </w:r>
      </w:hyperlink>
      <w:r w:rsidRPr="002226C2">
        <w:rPr>
          <w:rFonts w:ascii="Times New Roman" w:eastAsia="Times New Roman" w:hAnsi="Times New Roman" w:cs="Times New Roman"/>
          <w:color w:val="000000"/>
          <w:sz w:val="25"/>
          <w:szCs w:val="25"/>
          <w:lang w:eastAsia="en-IN"/>
        </w:rPr>
        <w:t>, </w:t>
      </w:r>
      <w:hyperlink r:id="rId8" w:history="1">
        <w:r w:rsidRPr="002226C2">
          <w:rPr>
            <w:rFonts w:ascii="Times New Roman" w:eastAsia="Times New Roman" w:hAnsi="Times New Roman" w:cs="Times New Roman"/>
            <w:color w:val="1100CC"/>
            <w:sz w:val="25"/>
            <w:szCs w:val="25"/>
            <w:u w:val="single"/>
            <w:lang w:eastAsia="en-IN"/>
          </w:rPr>
          <w:t>99</w:t>
        </w:r>
      </w:hyperlink>
      <w:r w:rsidRPr="002226C2">
        <w:rPr>
          <w:rFonts w:ascii="Times New Roman" w:eastAsia="Times New Roman" w:hAnsi="Times New Roman" w:cs="Times New Roman"/>
          <w:color w:val="000000"/>
          <w:sz w:val="25"/>
          <w:szCs w:val="25"/>
          <w:lang w:eastAsia="en-IN"/>
        </w:rPr>
        <w:t> and </w:t>
      </w:r>
      <w:hyperlink r:id="rId9" w:history="1">
        <w:r w:rsidRPr="002226C2">
          <w:rPr>
            <w:rFonts w:ascii="Times New Roman" w:eastAsia="Times New Roman" w:hAnsi="Times New Roman" w:cs="Times New Roman"/>
            <w:color w:val="1100CC"/>
            <w:sz w:val="25"/>
            <w:szCs w:val="25"/>
            <w:u w:val="single"/>
            <w:lang w:eastAsia="en-IN"/>
          </w:rPr>
          <w:t>100</w:t>
        </w:r>
      </w:hyperlink>
      <w:r w:rsidRPr="002226C2">
        <w:rPr>
          <w:rFonts w:ascii="Times New Roman" w:eastAsia="Times New Roman" w:hAnsi="Times New Roman" w:cs="Times New Roman"/>
          <w:color w:val="000000"/>
          <w:sz w:val="25"/>
          <w:szCs w:val="25"/>
          <w:lang w:eastAsia="en-IN"/>
        </w:rPr>
        <w:t> of the Insolvency and Bankruptcy Code, 2016 (hereinafter referred to as 'the Code' for short) as unconstitutional being violative of </w:t>
      </w:r>
      <w:hyperlink r:id="rId10" w:history="1">
        <w:r w:rsidRPr="002226C2">
          <w:rPr>
            <w:rFonts w:ascii="Times New Roman" w:eastAsia="Times New Roman" w:hAnsi="Times New Roman" w:cs="Times New Roman"/>
            <w:color w:val="1100CC"/>
            <w:sz w:val="25"/>
            <w:szCs w:val="25"/>
            <w:u w:val="single"/>
            <w:lang w:eastAsia="en-IN"/>
          </w:rPr>
          <w:t>Article 14</w:t>
        </w:r>
      </w:hyperlink>
      <w:r w:rsidRPr="002226C2">
        <w:rPr>
          <w:rFonts w:ascii="Times New Roman" w:eastAsia="Times New Roman" w:hAnsi="Times New Roman" w:cs="Times New Roman"/>
          <w:color w:val="000000"/>
          <w:sz w:val="25"/>
          <w:szCs w:val="25"/>
          <w:lang w:eastAsia="en-IN"/>
        </w:rPr>
        <w:t> of the Constitution of India.</w:t>
      </w:r>
    </w:p>
    <w:p w14:paraId="5E1FE6C1" w14:textId="77777777" w:rsidR="002226C2" w:rsidRPr="002226C2" w:rsidRDefault="002226C2" w:rsidP="002226C2">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2226C2">
        <w:rPr>
          <w:rFonts w:ascii="Times New Roman" w:eastAsia="Times New Roman" w:hAnsi="Times New Roman" w:cs="Times New Roman"/>
          <w:color w:val="000000"/>
          <w:sz w:val="25"/>
          <w:szCs w:val="25"/>
          <w:lang w:eastAsia="en-IN"/>
        </w:rPr>
        <w:t>2. Facts giving rise to filing of this petition briefly stated are that an inter corporate deposit agreement was executed between the Corporate debtor and the Perimal Enterprise viz., respondent No.2 on 27.05.2016. The aforesaid intra corporate deposit agreement was assigned to respondent No.2 on 22.09.2016. The respondent No.2 filed two separate applications under Section 95(1) of the Code read with Rule 7(2) of the Insolvency and Bankruptcy (Application to Adjudicating Authority for Insolvency Resolution Process for Personal Guarantors to Corporate Debtors) Rules, 2019 with a prayer to initiate corporate insolvency resolution process. The National Company Law Tribunal, Bangalore passed an interim moratorium order dated 11.11.2021 against the petitioners and also appointed respondent No.3 as a resolution professional under Section 97 of the Code. The respondent No.3 issued notices to the petitioners on 18.11.2021 and the petitioners responded to the aforesaid notice by an email dated 25.11.2021. The petitioners also requested for an early hearing. Thereafter a virtual meeting of respondent No.3 and the petitioner's counsel was held on 29.11.2021. The respondent No.3 submitted its report to National Company Law Tribunal, Bangalore on 01.12.2021 under Section 99(1) of the Code recommending the acceptance of the application filed by respondent No.2. The petitioners in the aforesaid factual background have challenged the validity of the aforesaid provisions.</w:t>
      </w:r>
    </w:p>
    <w:p w14:paraId="08E45D66" w14:textId="77777777" w:rsidR="002226C2" w:rsidRPr="002226C2" w:rsidRDefault="002226C2" w:rsidP="002226C2">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2226C2">
        <w:rPr>
          <w:rFonts w:ascii="Times New Roman" w:eastAsia="Times New Roman" w:hAnsi="Times New Roman" w:cs="Times New Roman"/>
          <w:color w:val="000000"/>
          <w:sz w:val="25"/>
          <w:szCs w:val="25"/>
          <w:lang w:eastAsia="en-IN"/>
        </w:rPr>
        <w:t>3. Learned counsel for the petitioner submitted that the impugned provisions are in violation of principles of natural justice as no opportunity of hearing is envisaged in the proceedings. It is further submitted that the resolution professional is appointed by the creditor and no person can be a judge in on own case. In support of aforesaid submissions, reliance has been placed on 'UMA NATH PANDEY AND OTHERS VS. STATE OF UP AND ANOTHER', AIR 2009 SC 2375, 'JUSTICE P.D.DINAKARAN VS. HON'BLE JUDGES INQUIRY COMMITTEE AND OTHERS', AIR 2011 SC 3711.</w:t>
      </w:r>
    </w:p>
    <w:p w14:paraId="3BDFB905" w14:textId="77777777" w:rsidR="002226C2" w:rsidRPr="002226C2" w:rsidRDefault="002226C2" w:rsidP="002226C2">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2226C2">
        <w:rPr>
          <w:rFonts w:ascii="Times New Roman" w:eastAsia="Times New Roman" w:hAnsi="Times New Roman" w:cs="Times New Roman"/>
          <w:color w:val="000000"/>
          <w:sz w:val="25"/>
          <w:szCs w:val="25"/>
          <w:lang w:eastAsia="en-IN"/>
        </w:rPr>
        <w:t>4. We have considered the submission made by learned counsel for the petitioner. From perusal of the report of resolution professional, it is evident that the insolvency proceedings initiated against the personal guarantor under the Code is a time bound process. The aforesaid procedure contains filing of application under Section 95 of the Code for appointment of resolution professional by the Adjudicating Authority under Section 99 of the Code, submission of the report by the resolution professional under Section 99 of the Code recording reasons for recommending the request for acceptance or rejection of the application and finally the admission or rejection of the application by the Adjudicating Authority. The resolution professional is required to give reasons in support of its recommendation. The Adjudicating Authority is the body, which takes the final decision on the recommendation submitted by the resolution professional. The Adjudicating Authority is not bound by the recommendation made by the resolution professional. There is no element of adjudication on the part of the resolution professional. Therefore, the contention raised by the petitioner that the impugned provisions are arbitrary as no person can be allowed to be a judge in his own case is misconceived. The Supreme Court in GUJURAT URJA VIKAS NIGAM LTD. VS AMIT GUPTA (2021) 7 SCC 209 has negative the contention of the petitioner and has held that the role of Adjudicating Authority is that of a rubber stamp in the context of Section 95, 97, 99 and 100 of the Code. It has further been held by the Supreme Court that Section 95, 97, 99 and 100 of the Code do not suffer from any illegality or any unconstitutionality. As per the procedure prescribed under Section 95 to 100 of the Code, the role of resolution professional is limited to make the appropriate recommendation to the Adjudicating Authority and the final decision of the admission or rejection of the application referred to under </w:t>
      </w:r>
      <w:hyperlink r:id="rId11" w:history="1">
        <w:r w:rsidRPr="002226C2">
          <w:rPr>
            <w:rFonts w:ascii="Times New Roman" w:eastAsia="Times New Roman" w:hAnsi="Times New Roman" w:cs="Times New Roman"/>
            <w:color w:val="1100CC"/>
            <w:sz w:val="25"/>
            <w:szCs w:val="25"/>
            <w:u w:val="single"/>
            <w:lang w:eastAsia="en-IN"/>
          </w:rPr>
          <w:t>Section 95</w:t>
        </w:r>
      </w:hyperlink>
      <w:r w:rsidRPr="002226C2">
        <w:rPr>
          <w:rFonts w:ascii="Times New Roman" w:eastAsia="Times New Roman" w:hAnsi="Times New Roman" w:cs="Times New Roman"/>
          <w:color w:val="000000"/>
          <w:sz w:val="25"/>
          <w:szCs w:val="25"/>
          <w:lang w:eastAsia="en-IN"/>
        </w:rPr>
        <w:t> solely lies with the Adjudicating Authority. It is also pertinent to note that Section 5(27) of the Code read with the Insolvency and Bankruptcy Board of India (Insolvency Professional) Regulations, 2016 defines the expression 'resolution professional'. The aforesaid rule lays down the guidelines for appointment of insolvency professionals including their eligibility criteria and a code of conduct to be followed by insolvency professional. Second application has been made through the resolution professional. It is pertinent to note here that he does not have any personal interest in the application. Therefore, the contention of the petitioner that subsequent appointment of the same resolution professional is arbitrary cannot be accepted. The procedure prescribed under the provisions is fair, rational and reasonable and same cannot be termed to be violative of </w:t>
      </w:r>
      <w:hyperlink r:id="rId12" w:history="1">
        <w:r w:rsidRPr="002226C2">
          <w:rPr>
            <w:rFonts w:ascii="Times New Roman" w:eastAsia="Times New Roman" w:hAnsi="Times New Roman" w:cs="Times New Roman"/>
            <w:color w:val="1100CC"/>
            <w:sz w:val="25"/>
            <w:szCs w:val="25"/>
            <w:u w:val="single"/>
            <w:lang w:eastAsia="en-IN"/>
          </w:rPr>
          <w:t>Article 14.</w:t>
        </w:r>
      </w:hyperlink>
    </w:p>
    <w:p w14:paraId="10C9B9AE" w14:textId="77777777" w:rsidR="002226C2" w:rsidRPr="002226C2" w:rsidRDefault="002226C2" w:rsidP="002226C2">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2226C2">
        <w:rPr>
          <w:rFonts w:ascii="Times New Roman" w:eastAsia="Times New Roman" w:hAnsi="Times New Roman" w:cs="Times New Roman"/>
          <w:color w:val="000000"/>
          <w:sz w:val="25"/>
          <w:szCs w:val="25"/>
          <w:lang w:eastAsia="en-IN"/>
        </w:rPr>
        <w:t>For the aforementioned reasons, the challenge made to the validity of the provisions as contained in Section 95 to 100 of the Code is hereby repelled. For the aforementioned reasons, we do not find any merit in this writ petition. The same fails and is here by dismissed.</w:t>
      </w:r>
    </w:p>
    <w:p w14:paraId="25E4F8EB" w14:textId="77777777" w:rsidR="002226C2" w:rsidRPr="002226C2" w:rsidRDefault="002226C2" w:rsidP="002226C2">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2226C2">
        <w:rPr>
          <w:rFonts w:ascii="Times New Roman" w:eastAsia="Times New Roman" w:hAnsi="Times New Roman" w:cs="Times New Roman"/>
          <w:color w:val="000000"/>
          <w:sz w:val="25"/>
          <w:szCs w:val="25"/>
          <w:lang w:eastAsia="en-IN"/>
        </w:rPr>
        <w:t>Sd/-</w:t>
      </w:r>
    </w:p>
    <w:p w14:paraId="5C2E0565" w14:textId="77777777" w:rsidR="002226C2" w:rsidRPr="002226C2" w:rsidRDefault="002226C2" w:rsidP="002226C2">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2226C2">
        <w:rPr>
          <w:rFonts w:ascii="Times New Roman" w:eastAsia="Times New Roman" w:hAnsi="Times New Roman" w:cs="Times New Roman"/>
          <w:color w:val="000000"/>
          <w:sz w:val="25"/>
          <w:szCs w:val="25"/>
          <w:lang w:eastAsia="en-IN"/>
        </w:rPr>
        <w:t>JUDGE Sd/-</w:t>
      </w:r>
    </w:p>
    <w:p w14:paraId="6C91CC1B" w14:textId="77777777" w:rsidR="002226C2" w:rsidRPr="002226C2" w:rsidRDefault="002226C2" w:rsidP="002226C2">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2226C2">
        <w:rPr>
          <w:rFonts w:ascii="Times New Roman" w:eastAsia="Times New Roman" w:hAnsi="Times New Roman" w:cs="Times New Roman"/>
          <w:color w:val="000000"/>
          <w:sz w:val="25"/>
          <w:szCs w:val="25"/>
          <w:lang w:eastAsia="en-IN"/>
        </w:rPr>
        <w:t>JUDGE SS</w:t>
      </w:r>
    </w:p>
    <w:p w14:paraId="0CDB9022" w14:textId="77777777" w:rsidR="002226C2" w:rsidRDefault="002226C2"/>
    <w:sectPr w:rsidR="00222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C2"/>
    <w:rsid w:val="002226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FE0F"/>
  <w15:chartTrackingRefBased/>
  <w15:docId w15:val="{F1F7CAE9-E073-4400-83F0-8FD28057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2226C2"/>
    <w:rPr>
      <w:rFonts w:ascii="Courier New" w:eastAsia="Times New Roman" w:hAnsi="Courier New" w:cs="Courier New"/>
      <w:sz w:val="20"/>
      <w:szCs w:val="20"/>
      <w:lang w:eastAsia="en-IN"/>
    </w:rPr>
  </w:style>
  <w:style w:type="character" w:styleId="Hyperlink">
    <w:name w:val="Hyperlink"/>
    <w:basedOn w:val="DefaultParagraphFont"/>
    <w:uiPriority w:val="99"/>
    <w:semiHidden/>
    <w:unhideWhenUsed/>
    <w:rsid w:val="002226C2"/>
    <w:rPr>
      <w:color w:val="0000FF"/>
      <w:u w:val="single"/>
    </w:rPr>
  </w:style>
  <w:style w:type="paragraph" w:styleId="NormalWeb">
    <w:name w:val="Normal (Web)"/>
    <w:basedOn w:val="Normal"/>
    <w:uiPriority w:val="99"/>
    <w:semiHidden/>
    <w:unhideWhenUsed/>
    <w:rsid w:val="002226C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38844">
      <w:bodyDiv w:val="1"/>
      <w:marLeft w:val="0"/>
      <w:marRight w:val="0"/>
      <w:marTop w:val="0"/>
      <w:marBottom w:val="0"/>
      <w:divBdr>
        <w:top w:val="none" w:sz="0" w:space="0" w:color="auto"/>
        <w:left w:val="none" w:sz="0" w:space="0" w:color="auto"/>
        <w:bottom w:val="none" w:sz="0" w:space="0" w:color="auto"/>
        <w:right w:val="none" w:sz="0" w:space="0" w:color="auto"/>
      </w:divBdr>
      <w:divsChild>
        <w:div w:id="559094545">
          <w:marLeft w:val="0"/>
          <w:marRight w:val="0"/>
          <w:marTop w:val="0"/>
          <w:marBottom w:val="150"/>
          <w:divBdr>
            <w:top w:val="none" w:sz="0" w:space="0" w:color="auto"/>
            <w:left w:val="none" w:sz="0" w:space="0" w:color="auto"/>
            <w:bottom w:val="none" w:sz="0" w:space="0" w:color="auto"/>
            <w:right w:val="none" w:sz="0" w:space="0" w:color="auto"/>
          </w:divBdr>
        </w:div>
        <w:div w:id="200993796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doc/3930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diankanoon.org/doc/393016/" TargetMode="External"/><Relationship Id="rId12" Type="http://schemas.openxmlformats.org/officeDocument/2006/relationships/hyperlink" Target="https://indiankanoon.org/doc/3675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iankanoon.org/doc/367586/" TargetMode="External"/><Relationship Id="rId11" Type="http://schemas.openxmlformats.org/officeDocument/2006/relationships/hyperlink" Target="https://indiankanoon.org/doc/393016/" TargetMode="External"/><Relationship Id="rId5" Type="http://schemas.openxmlformats.org/officeDocument/2006/relationships/hyperlink" Target="https://indiankanoon.org/doc/1331149/" TargetMode="External"/><Relationship Id="rId10" Type="http://schemas.openxmlformats.org/officeDocument/2006/relationships/hyperlink" Target="https://indiankanoon.org/doc/367586/" TargetMode="External"/><Relationship Id="rId4" Type="http://schemas.openxmlformats.org/officeDocument/2006/relationships/hyperlink" Target="https://indiankanoon.org/doc/1712542/" TargetMode="External"/><Relationship Id="rId9" Type="http://schemas.openxmlformats.org/officeDocument/2006/relationships/hyperlink" Target="https://indiankanoon.org/doc/3930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1239</Words>
  <Characters>7063</Characters>
  <Application>Microsoft Office Word</Application>
  <DocSecurity>0</DocSecurity>
  <Lines>58</Lines>
  <Paragraphs>16</Paragraphs>
  <ScaleCrop>false</ScaleCrop>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 molakalapalli</dc:creator>
  <cp:keywords/>
  <dc:description/>
  <cp:lastModifiedBy>Manju molakalapalli</cp:lastModifiedBy>
  <cp:revision>1</cp:revision>
  <dcterms:created xsi:type="dcterms:W3CDTF">2022-05-07T14:18:00Z</dcterms:created>
  <dcterms:modified xsi:type="dcterms:W3CDTF">2022-05-08T09:10:00Z</dcterms:modified>
</cp:coreProperties>
</file>